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0361362"/>
    <w:bookmarkStart w:id="1" w:name="_Toc443397153"/>
    <w:bookmarkStart w:id="2" w:name="_Toc357771638"/>
    <w:bookmarkStart w:id="3" w:name="_Toc346793416"/>
    <w:bookmarkStart w:id="4" w:name="_Toc328122777"/>
    <w:p w14:paraId="2A7D54B1" w14:textId="5D6E9AB0" w:rsidR="00E66558" w:rsidRDefault="009D71E8" w:rsidP="00125501">
      <w:pPr>
        <w:pStyle w:val="Heading1"/>
        <w:jc w:val="center"/>
      </w:pPr>
      <w:r>
        <w:rPr>
          <w:b w:val="0"/>
          <w:bCs/>
          <w:noProof/>
          <w:sz w:val="28"/>
          <w:szCs w:val="28"/>
        </w:rPr>
        <mc:AlternateContent>
          <mc:Choice Requires="wps">
            <w:drawing>
              <wp:anchor distT="0" distB="0" distL="114300" distR="114300" simplePos="0" relativeHeight="251658240" behindDoc="0" locked="0" layoutInCell="1" allowOverlap="1" wp14:anchorId="2A7D54B2" wp14:editId="7B411093">
                <wp:simplePos x="0" y="0"/>
                <wp:positionH relativeFrom="margin">
                  <wp:align>left</wp:align>
                </wp:positionH>
                <wp:positionV relativeFrom="margin">
                  <wp:posOffset>519955</wp:posOffset>
                </wp:positionV>
                <wp:extent cx="6000119" cy="1121411"/>
                <wp:effectExtent l="0" t="0" r="19681" b="21589"/>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6" w14:textId="5B3E6C23" w:rsidR="00E66558" w:rsidRPr="00125501" w:rsidRDefault="00125501" w:rsidP="00125501">
                            <w:pPr>
                              <w:keepNext/>
                              <w:spacing w:before="120" w:after="120"/>
                              <w:jc w:val="center"/>
                              <w:outlineLvl w:val="1"/>
                              <w:rPr>
                                <w:b/>
                                <w:sz w:val="48"/>
                                <w:szCs w:val="48"/>
                              </w:rPr>
                            </w:pPr>
                            <w:r w:rsidRPr="00125501">
                              <w:rPr>
                                <w:b/>
                                <w:sz w:val="48"/>
                                <w:szCs w:val="48"/>
                              </w:rPr>
                              <w:t>Harden Primary School</w:t>
                            </w:r>
                          </w:p>
                          <w:p w14:paraId="04C767BD" w14:textId="7A9521BD" w:rsidR="00125501" w:rsidRPr="00125501" w:rsidRDefault="00125501" w:rsidP="00125501">
                            <w:pPr>
                              <w:keepNext/>
                              <w:spacing w:before="120" w:after="120"/>
                              <w:jc w:val="center"/>
                              <w:outlineLvl w:val="1"/>
                              <w:rPr>
                                <w:b/>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alt="&quot;&quot;" style="position:absolute;left:0;text-align:left;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" fillcolor="#f2f2f2" strokeweight=".26467mm">
                <v:textbox>
                  <w:txbxContent>
                    <w:p w14:paraId="2A7D54B6" w14:textId="5B3E6C23" w:rsidR="00E66558" w:rsidRPr="00125501" w:rsidRDefault="00125501" w:rsidP="00125501">
                      <w:pPr>
                        <w:keepNext/>
                        <w:spacing w:before="120" w:after="120"/>
                        <w:jc w:val="center"/>
                        <w:outlineLvl w:val="1"/>
                        <w:rPr>
                          <w:b/>
                          <w:sz w:val="48"/>
                          <w:szCs w:val="48"/>
                        </w:rPr>
                      </w:pPr>
                      <w:r w:rsidRPr="00125501">
                        <w:rPr>
                          <w:b/>
                          <w:sz w:val="48"/>
                          <w:szCs w:val="48"/>
                        </w:rPr>
                        <w:t>Harden Primary School</w:t>
                      </w:r>
                    </w:p>
                    <w:p w14:paraId="04C767BD" w14:textId="7A9521BD" w:rsidR="00125501" w:rsidRPr="00125501" w:rsidRDefault="00125501" w:rsidP="00125501">
                      <w:pPr>
                        <w:keepNext/>
                        <w:spacing w:before="120" w:after="120"/>
                        <w:jc w:val="center"/>
                        <w:outlineLvl w:val="1"/>
                        <w:rPr>
                          <w:b/>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125501">
        <w:t xml:space="preserve"> 2021</w:t>
      </w:r>
      <w:r w:rsidR="007D67BF">
        <w:t>-</w:t>
      </w:r>
      <w:r w:rsidR="00125501">
        <w:t>2024</w:t>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2A4628A" w:rsidR="00E66558" w:rsidRDefault="00125501">
            <w:pPr>
              <w:pStyle w:val="TableRow"/>
            </w:pPr>
            <w:r>
              <w:t>Harden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235A856" w:rsidR="00E66558" w:rsidRDefault="00931820">
            <w:pPr>
              <w:pStyle w:val="TableRow"/>
            </w:pPr>
            <w:r>
              <w:t>21</w:t>
            </w:r>
            <w:r w:rsidR="008A1EFD">
              <w:t>2</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A74BC33" w:rsidR="00E66558" w:rsidRDefault="00FD5D2F">
            <w:pPr>
              <w:pStyle w:val="TableRow"/>
            </w:pPr>
            <w:r>
              <w:t>1</w:t>
            </w:r>
            <w:r w:rsidR="008A1EFD">
              <w:t>0</w:t>
            </w:r>
            <w:r>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3C302CF" w:rsidR="00E66558" w:rsidRDefault="007D67BF">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4B52DE1" w:rsidR="00E66558" w:rsidRDefault="007D67BF">
            <w:pPr>
              <w:pStyle w:val="TableRow"/>
            </w:pPr>
            <w:r>
              <w:t>October 202</w:t>
            </w:r>
            <w:r w:rsidR="0017131D">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BF3229A" w:rsidR="00E66558" w:rsidRDefault="007D67BF">
            <w:pPr>
              <w:pStyle w:val="TableRow"/>
            </w:pPr>
            <w:r>
              <w:t>September 202</w:t>
            </w:r>
            <w:r w:rsidR="0017131D">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FCE966B" w:rsidR="00E66558" w:rsidRDefault="00C10280">
            <w:pPr>
              <w:pStyle w:val="TableRow"/>
            </w:pPr>
            <w:r>
              <w:t>Mrs Kirsty Hutchinson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B0E94F6" w:rsidR="00E66558" w:rsidRDefault="00C10280">
            <w:pPr>
              <w:pStyle w:val="TableRow"/>
            </w:pPr>
            <w:r>
              <w:t>Mrs Leanne Ruddock</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5CD3434" w:rsidR="00E66558" w:rsidRDefault="007D67BF">
            <w:pPr>
              <w:pStyle w:val="TableRow"/>
            </w:pPr>
            <w:r>
              <w:t xml:space="preserve">Mrs Helen </w:t>
            </w:r>
            <w:r w:rsidR="0041492E">
              <w:t>Collins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459D191" w:rsidR="00E66558" w:rsidRDefault="009D71E8">
            <w:pPr>
              <w:pStyle w:val="TableRow"/>
            </w:pPr>
            <w:r>
              <w:t>£</w:t>
            </w:r>
            <w:r w:rsidR="00D162F9">
              <w:t>2</w:t>
            </w:r>
            <w:r w:rsidR="0017131D">
              <w:t>7</w:t>
            </w:r>
            <w:r w:rsidR="00D162F9">
              <w:t>,</w:t>
            </w:r>
            <w:r w:rsidR="0017131D">
              <w:t>274</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44BB5C4" w:rsidR="00E66558" w:rsidRDefault="009D71E8">
            <w:pPr>
              <w:pStyle w:val="TableRow"/>
            </w:pPr>
            <w:r>
              <w:t>£</w:t>
            </w:r>
            <w:r w:rsidR="0017131D">
              <w:t>3</w:t>
            </w:r>
            <w:r w:rsidR="00D162F9">
              <w:t>,</w:t>
            </w:r>
            <w:r w:rsidR="0017131D">
              <w:t>335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DACAFBE" w:rsidR="00E66558" w:rsidRDefault="009D71E8">
            <w:pPr>
              <w:pStyle w:val="TableRow"/>
            </w:pPr>
            <w:r>
              <w:t>£</w:t>
            </w:r>
            <w:r w:rsidR="00D162F9">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B52E212" w:rsidR="00E66558" w:rsidRDefault="009D71E8">
            <w:pPr>
              <w:pStyle w:val="TableRow"/>
            </w:pPr>
            <w:r>
              <w:t>£</w:t>
            </w:r>
            <w:r w:rsidR="0017131D">
              <w:t>30</w:t>
            </w:r>
            <w:r w:rsidR="00D162F9">
              <w:t>,</w:t>
            </w:r>
            <w:r w:rsidR="0017131D">
              <w:t>609</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07678" w14:textId="0DA297CB" w:rsidR="00D904A0" w:rsidRPr="00D904A0" w:rsidRDefault="00D904A0" w:rsidP="00D904A0">
            <w:pPr>
              <w:pStyle w:val="NormalWeb"/>
              <w:shd w:val="clear" w:color="auto" w:fill="FFFFFF"/>
              <w:spacing w:before="0" w:beforeAutospacing="0" w:after="150" w:afterAutospacing="0" w:line="330" w:lineRule="atLeast"/>
              <w:rPr>
                <w:rFonts w:ascii="Arial" w:hAnsi="Arial" w:cs="Arial"/>
                <w:color w:val="373737"/>
              </w:rPr>
            </w:pPr>
            <w:r w:rsidRPr="00D904A0">
              <w:rPr>
                <w:rFonts w:ascii="Arial" w:hAnsi="Arial" w:cs="Arial"/>
              </w:rPr>
              <w:t>At Harden Primary School we aim to provide all pupils the best opportunities and access to outstanding teaching and learning.  We use our pupil premium and recovery grants to meet the needs of all learners and enable them to access the whole of school life. W</w:t>
            </w:r>
            <w:r w:rsidRPr="00D904A0">
              <w:rPr>
                <w:rFonts w:ascii="Arial" w:hAnsi="Arial" w:cs="Arial"/>
                <w:color w:val="373737"/>
              </w:rPr>
              <w:t xml:space="preserve">e have focused the use of Pupil Premium funding to raise the attainment of disadvantaged pupils of all abilities and to diminish the difference between them and their peers. Our analysis of individual pupil performance and knowledge of our curriculum provision has shaped how we spend pupil premium monies to maximize positive and effective outcomes. </w:t>
            </w:r>
          </w:p>
          <w:p w14:paraId="6159DEBB" w14:textId="07316A9C" w:rsidR="00D904A0" w:rsidRPr="00E96E7B" w:rsidRDefault="00D904A0" w:rsidP="00D904A0">
            <w:pPr>
              <w:pStyle w:val="ListParagraph"/>
              <w:numPr>
                <w:ilvl w:val="0"/>
                <w:numId w:val="14"/>
              </w:numPr>
              <w:suppressAutoHyphens w:val="0"/>
              <w:autoSpaceDN/>
              <w:spacing w:after="200" w:line="276" w:lineRule="auto"/>
            </w:pPr>
            <w:r w:rsidRPr="00E96E7B">
              <w:t>To ensure disadvantaged pupil make consistently good progress across school and to raise attainment to be in line with national average and year group expectations.</w:t>
            </w:r>
          </w:p>
          <w:p w14:paraId="4FC29834" w14:textId="77777777" w:rsidR="00D904A0" w:rsidRDefault="00D904A0" w:rsidP="00D904A0">
            <w:pPr>
              <w:pStyle w:val="ListParagraph"/>
              <w:numPr>
                <w:ilvl w:val="0"/>
                <w:numId w:val="14"/>
              </w:numPr>
              <w:suppressAutoHyphens w:val="0"/>
              <w:autoSpaceDN/>
              <w:spacing w:after="200" w:line="276" w:lineRule="auto"/>
            </w:pPr>
            <w:r>
              <w:t>To ensure identified disadvantaged pupils make accelerate progress.</w:t>
            </w:r>
          </w:p>
          <w:p w14:paraId="7755EEC9" w14:textId="77777777" w:rsidR="00D904A0" w:rsidRDefault="00D904A0" w:rsidP="00D904A0">
            <w:pPr>
              <w:pStyle w:val="ListParagraph"/>
              <w:numPr>
                <w:ilvl w:val="0"/>
                <w:numId w:val="14"/>
              </w:numPr>
              <w:suppressAutoHyphens w:val="0"/>
              <w:autoSpaceDN/>
              <w:spacing w:after="200" w:line="276" w:lineRule="auto"/>
            </w:pPr>
            <w:r>
              <w:t>To deliver intervention programmes alongside quality first teaching</w:t>
            </w:r>
          </w:p>
          <w:p w14:paraId="36B68470" w14:textId="77777777" w:rsidR="00D904A0" w:rsidRPr="00A5556B" w:rsidRDefault="00D904A0" w:rsidP="00D904A0">
            <w:pPr>
              <w:pStyle w:val="ListParagraph"/>
              <w:numPr>
                <w:ilvl w:val="0"/>
                <w:numId w:val="14"/>
              </w:numPr>
              <w:suppressAutoHyphens w:val="0"/>
              <w:autoSpaceDN/>
              <w:spacing w:after="200" w:line="276" w:lineRule="auto"/>
            </w:pPr>
            <w:r>
              <w:t>To ensure pupil premium funding is allocated to enhance a pupil’s school experience and to directly improve their life chances.</w:t>
            </w:r>
          </w:p>
          <w:p w14:paraId="13039A6D" w14:textId="77777777" w:rsidR="00D904A0" w:rsidRPr="00A5556B" w:rsidRDefault="00D904A0" w:rsidP="00D904A0">
            <w:pPr>
              <w:pStyle w:val="ListParagraph"/>
              <w:numPr>
                <w:ilvl w:val="0"/>
                <w:numId w:val="14"/>
              </w:numPr>
              <w:suppressAutoHyphens w:val="0"/>
              <w:autoSpaceDN/>
              <w:spacing w:after="200" w:line="276" w:lineRule="auto"/>
            </w:pPr>
            <w:r>
              <w:t xml:space="preserve">Residential visits to be paid in full/subsidised for identified </w:t>
            </w:r>
            <w:proofErr w:type="gramStart"/>
            <w:r>
              <w:t>pupils</w:t>
            </w:r>
            <w:proofErr w:type="gramEnd"/>
          </w:p>
          <w:p w14:paraId="5AAE43AB" w14:textId="77777777" w:rsidR="00D904A0" w:rsidRDefault="00D904A0" w:rsidP="00D904A0">
            <w:pPr>
              <w:pStyle w:val="ListParagraph"/>
              <w:numPr>
                <w:ilvl w:val="0"/>
                <w:numId w:val="14"/>
              </w:numPr>
              <w:suppressAutoHyphens w:val="0"/>
              <w:autoSpaceDN/>
              <w:spacing w:after="200" w:line="276" w:lineRule="auto"/>
            </w:pPr>
            <w:r>
              <w:t>To raise attendance &amp; punctuality of identified pupils.</w:t>
            </w:r>
          </w:p>
          <w:p w14:paraId="74C8C3E7" w14:textId="29E89524" w:rsidR="00E66558" w:rsidRDefault="00D904A0" w:rsidP="00D904A0">
            <w:pPr>
              <w:pStyle w:val="ListParagraph"/>
              <w:numPr>
                <w:ilvl w:val="0"/>
                <w:numId w:val="14"/>
              </w:numPr>
              <w:suppressAutoHyphens w:val="0"/>
              <w:autoSpaceDN/>
              <w:spacing w:after="200" w:line="276" w:lineRule="auto"/>
            </w:pPr>
            <w:r>
              <w:t>To provide support for the families of disadvantaged pupils</w:t>
            </w:r>
          </w:p>
          <w:p w14:paraId="2A7D54E9" w14:textId="47A735D3" w:rsidR="00D904A0" w:rsidRPr="00D904A0" w:rsidRDefault="00D904A0" w:rsidP="00D904A0"/>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76B48EE" w:rsidR="00E66558" w:rsidRPr="00D904A0" w:rsidRDefault="00D904A0">
            <w:pPr>
              <w:pStyle w:val="TableRowCentered"/>
              <w:jc w:val="left"/>
            </w:pPr>
            <w:r>
              <w:rPr>
                <w:sz w:val="22"/>
                <w:szCs w:val="22"/>
              </w:rPr>
              <w:t>An increasing number of pupil premium are struggling with the social and emotional aspect</w:t>
            </w:r>
            <w:r w:rsidR="00B57378">
              <w:rPr>
                <w:sz w:val="22"/>
                <w:szCs w:val="22"/>
              </w:rPr>
              <w:t>s</w:t>
            </w:r>
            <w:r>
              <w:rPr>
                <w:sz w:val="22"/>
                <w:szCs w:val="22"/>
              </w:rPr>
              <w:t xml:space="preserve"> of learning.</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63F8DC1" w:rsidR="00E66558" w:rsidRDefault="00D904A0">
            <w:pPr>
              <w:pStyle w:val="TableRowCentered"/>
              <w:jc w:val="left"/>
              <w:rPr>
                <w:sz w:val="22"/>
                <w:szCs w:val="22"/>
              </w:rPr>
            </w:pPr>
            <w:r>
              <w:rPr>
                <w:sz w:val="22"/>
                <w:szCs w:val="22"/>
              </w:rPr>
              <w:t xml:space="preserve">Many pupils eligible for pupil premium are also SEN, PLAC or LAC.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6C0C38F" w:rsidR="00E66558" w:rsidRDefault="00B57378">
            <w:pPr>
              <w:pStyle w:val="TableRowCentered"/>
              <w:jc w:val="left"/>
              <w:rPr>
                <w:sz w:val="22"/>
                <w:szCs w:val="22"/>
              </w:rPr>
            </w:pPr>
            <w:r>
              <w:rPr>
                <w:sz w:val="22"/>
                <w:szCs w:val="22"/>
              </w:rPr>
              <w:t>After Covid many pp children struggle with resilience and growth mindset.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6E08493" w:rsidR="00E66558" w:rsidRPr="000A18E8" w:rsidRDefault="000A18E8">
            <w:pPr>
              <w:pStyle w:val="TableRowCentered"/>
              <w:jc w:val="left"/>
              <w:rPr>
                <w:iCs/>
                <w:sz w:val="22"/>
                <w:szCs w:val="22"/>
              </w:rPr>
            </w:pPr>
            <w:r w:rsidRPr="000A18E8">
              <w:rPr>
                <w:sz w:val="22"/>
                <w:szCs w:val="22"/>
              </w:rPr>
              <w:t>Pupils have become passive in their approaches to learning due to the impact of online learning and home issues</w:t>
            </w:r>
          </w:p>
        </w:tc>
      </w:tr>
      <w:tr w:rsidR="000A18E8" w14:paraId="0C0001B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59141" w14:textId="10619A5C" w:rsidR="000A18E8" w:rsidRPr="000A18E8" w:rsidRDefault="000A18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247FA" w14:textId="65B02983" w:rsidR="000A18E8" w:rsidRPr="000A18E8" w:rsidRDefault="000A18E8">
            <w:pPr>
              <w:pStyle w:val="TableRowCentered"/>
              <w:jc w:val="left"/>
              <w:rPr>
                <w:sz w:val="22"/>
                <w:szCs w:val="22"/>
              </w:rPr>
            </w:pPr>
            <w:proofErr w:type="gramStart"/>
            <w:r w:rsidRPr="000A18E8">
              <w:rPr>
                <w:sz w:val="22"/>
                <w:szCs w:val="22"/>
              </w:rPr>
              <w:t>A number of</w:t>
            </w:r>
            <w:proofErr w:type="gramEnd"/>
            <w:r w:rsidRPr="000A18E8">
              <w:rPr>
                <w:sz w:val="22"/>
                <w:szCs w:val="22"/>
              </w:rPr>
              <w:t xml:space="preserve"> disadvantaged children have fallen behind their peers in terms of basic skill consolidation due to Covid closures</w:t>
            </w:r>
          </w:p>
        </w:tc>
      </w:tr>
      <w:tr w:rsidR="000A18E8" w14:paraId="02A7859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C928B" w14:textId="34AC922A" w:rsidR="000A18E8" w:rsidRPr="000A18E8" w:rsidRDefault="000A18E8">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E9783" w14:textId="394BAD33" w:rsidR="000A18E8" w:rsidRPr="000A18E8" w:rsidRDefault="000A18E8">
            <w:pPr>
              <w:pStyle w:val="TableRowCentered"/>
              <w:jc w:val="left"/>
              <w:rPr>
                <w:sz w:val="22"/>
                <w:szCs w:val="22"/>
              </w:rPr>
            </w:pPr>
            <w:r w:rsidRPr="000A18E8">
              <w:rPr>
                <w:sz w:val="22"/>
                <w:szCs w:val="22"/>
              </w:rPr>
              <w:t>Poor comprehension and inference skills in reading. (More able PP pupils demonstrate poor inferential skills compared to peers)</w:t>
            </w:r>
          </w:p>
        </w:tc>
      </w:tr>
    </w:tbl>
    <w:p w14:paraId="2A7D54FF" w14:textId="77777777" w:rsidR="00E66558" w:rsidRDefault="009D71E8">
      <w:pPr>
        <w:pStyle w:val="Heading2"/>
        <w:spacing w:before="600"/>
      </w:pPr>
      <w:r>
        <w:lastRenderedPageBreak/>
        <w:t xml:space="preserve">Intended </w:t>
      </w:r>
      <w:proofErr w:type="gramStart"/>
      <w:r>
        <w:t>outcomes</w:t>
      </w:r>
      <w:proofErr w:type="gramEnd"/>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106"/>
        <w:gridCol w:w="5380"/>
      </w:tblGrid>
      <w:tr w:rsidR="00E66558" w14:paraId="2A7D5503" w14:textId="77777777" w:rsidTr="00B57378">
        <w:tc>
          <w:tcPr>
            <w:tcW w:w="410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3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rsidRPr="000A18E8" w14:paraId="2A7D5506" w14:textId="77777777" w:rsidTr="00B57378">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6F7DE73" w:rsidR="00E66558" w:rsidRPr="000A18E8" w:rsidRDefault="00E22598">
            <w:pPr>
              <w:pStyle w:val="TableRow"/>
              <w:rPr>
                <w:sz w:val="22"/>
                <w:szCs w:val="22"/>
              </w:rPr>
            </w:pPr>
            <w:r w:rsidRPr="000A18E8">
              <w:rPr>
                <w:sz w:val="22"/>
                <w:szCs w:val="22"/>
              </w:rPr>
              <w:t xml:space="preserve">Disadvantaged children make at </w:t>
            </w:r>
            <w:proofErr w:type="gramStart"/>
            <w:r w:rsidRPr="000A18E8">
              <w:rPr>
                <w:sz w:val="22"/>
                <w:szCs w:val="22"/>
              </w:rPr>
              <w:t>least  good</w:t>
            </w:r>
            <w:proofErr w:type="gramEnd"/>
            <w:r w:rsidRPr="000A18E8">
              <w:rPr>
                <w:sz w:val="22"/>
                <w:szCs w:val="22"/>
              </w:rPr>
              <w:t xml:space="preserve"> progress with English and maths skills depending upon their starting points.</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48EFE" w14:textId="77777777" w:rsidR="00B57378" w:rsidRPr="000A18E8" w:rsidRDefault="005E5C01" w:rsidP="00B57378">
            <w:pPr>
              <w:pStyle w:val="TableRowCentered"/>
              <w:numPr>
                <w:ilvl w:val="0"/>
                <w:numId w:val="15"/>
              </w:numPr>
              <w:jc w:val="left"/>
              <w:rPr>
                <w:sz w:val="22"/>
                <w:szCs w:val="22"/>
              </w:rPr>
            </w:pPr>
            <w:r w:rsidRPr="000A18E8">
              <w:rPr>
                <w:sz w:val="22"/>
                <w:szCs w:val="22"/>
              </w:rPr>
              <w:t>Disadvantaged children are tracked carefully be class teachers and leaders.</w:t>
            </w:r>
          </w:p>
          <w:p w14:paraId="38FC41FA" w14:textId="77777777" w:rsidR="00B57378" w:rsidRPr="000A18E8" w:rsidRDefault="005E5C01" w:rsidP="00B57378">
            <w:pPr>
              <w:pStyle w:val="TableRowCentered"/>
              <w:numPr>
                <w:ilvl w:val="0"/>
                <w:numId w:val="15"/>
              </w:numPr>
              <w:jc w:val="left"/>
              <w:rPr>
                <w:sz w:val="22"/>
                <w:szCs w:val="22"/>
              </w:rPr>
            </w:pPr>
            <w:r w:rsidRPr="000A18E8">
              <w:rPr>
                <w:sz w:val="22"/>
                <w:szCs w:val="22"/>
              </w:rPr>
              <w:t xml:space="preserve">All disadvantaged pupils are provided with maths and English learning activities closely matched to their need. </w:t>
            </w:r>
          </w:p>
          <w:p w14:paraId="2B9DC344" w14:textId="77777777" w:rsidR="00B57378" w:rsidRPr="000A18E8" w:rsidRDefault="00B57378" w:rsidP="00B57378">
            <w:pPr>
              <w:pStyle w:val="TableRowCentered"/>
              <w:numPr>
                <w:ilvl w:val="0"/>
                <w:numId w:val="15"/>
              </w:numPr>
              <w:jc w:val="left"/>
              <w:rPr>
                <w:sz w:val="22"/>
                <w:szCs w:val="22"/>
              </w:rPr>
            </w:pPr>
            <w:r w:rsidRPr="000A18E8">
              <w:rPr>
                <w:sz w:val="22"/>
                <w:szCs w:val="22"/>
              </w:rPr>
              <w:t>All lessons ensure the same high expectations of English and maths skills.</w:t>
            </w:r>
          </w:p>
          <w:p w14:paraId="2FEDDDEC" w14:textId="77777777" w:rsidR="00B57378" w:rsidRPr="000A18E8" w:rsidRDefault="00B57378" w:rsidP="00B57378">
            <w:pPr>
              <w:pStyle w:val="TableRowCentered"/>
              <w:numPr>
                <w:ilvl w:val="0"/>
                <w:numId w:val="15"/>
              </w:numPr>
              <w:jc w:val="left"/>
              <w:rPr>
                <w:sz w:val="22"/>
                <w:szCs w:val="22"/>
              </w:rPr>
            </w:pPr>
            <w:r w:rsidRPr="000A18E8">
              <w:rPr>
                <w:sz w:val="22"/>
                <w:szCs w:val="22"/>
              </w:rPr>
              <w:t>PP children read regularly at school and encouraged to do so at home developing good fluency and comprehension skills and a love of reading. (Identified in reading records)</w:t>
            </w:r>
          </w:p>
          <w:p w14:paraId="2A7D5505" w14:textId="584A2803" w:rsidR="00B57378" w:rsidRPr="000A18E8" w:rsidRDefault="00B57378" w:rsidP="00B57378">
            <w:pPr>
              <w:pStyle w:val="TableRowCentered"/>
              <w:numPr>
                <w:ilvl w:val="0"/>
                <w:numId w:val="15"/>
              </w:numPr>
              <w:jc w:val="left"/>
              <w:rPr>
                <w:sz w:val="22"/>
                <w:szCs w:val="22"/>
              </w:rPr>
            </w:pPr>
            <w:r w:rsidRPr="000A18E8">
              <w:rPr>
                <w:sz w:val="22"/>
                <w:szCs w:val="22"/>
              </w:rPr>
              <w:t xml:space="preserve">PP outcomes are in line with </w:t>
            </w:r>
            <w:proofErr w:type="gramStart"/>
            <w:r w:rsidRPr="000A18E8">
              <w:rPr>
                <w:sz w:val="22"/>
                <w:szCs w:val="22"/>
              </w:rPr>
              <w:t>non PP</w:t>
            </w:r>
            <w:proofErr w:type="gramEnd"/>
            <w:r w:rsidRPr="000A18E8">
              <w:rPr>
                <w:sz w:val="22"/>
                <w:szCs w:val="22"/>
              </w:rPr>
              <w:t xml:space="preserve"> children at both EXS and GDS at KS1 and 2.</w:t>
            </w:r>
          </w:p>
        </w:tc>
      </w:tr>
      <w:tr w:rsidR="00E66558" w:rsidRPr="000A18E8" w14:paraId="2A7D5509" w14:textId="77777777" w:rsidTr="00B57378">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E87ACA9" w:rsidR="00E66558" w:rsidRPr="000A18E8" w:rsidRDefault="00E22598">
            <w:pPr>
              <w:pStyle w:val="TableRow"/>
              <w:rPr>
                <w:sz w:val="22"/>
                <w:szCs w:val="22"/>
              </w:rPr>
            </w:pPr>
            <w:r w:rsidRPr="000A18E8">
              <w:rPr>
                <w:sz w:val="22"/>
                <w:szCs w:val="22"/>
              </w:rPr>
              <w:t xml:space="preserve">Disadvantaged children to be able to safely access morning and lunchtime playtimes. </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E781C" w14:textId="77777777" w:rsidR="00E66558" w:rsidRPr="000A18E8" w:rsidRDefault="00F12708" w:rsidP="00F12708">
            <w:pPr>
              <w:pStyle w:val="TableRowCentered"/>
              <w:numPr>
                <w:ilvl w:val="0"/>
                <w:numId w:val="15"/>
              </w:numPr>
              <w:jc w:val="left"/>
              <w:rPr>
                <w:sz w:val="22"/>
                <w:szCs w:val="22"/>
              </w:rPr>
            </w:pPr>
            <w:r w:rsidRPr="000A18E8">
              <w:rPr>
                <w:sz w:val="22"/>
                <w:szCs w:val="22"/>
              </w:rPr>
              <w:t xml:space="preserve">All disadvantaged children </w:t>
            </w:r>
            <w:proofErr w:type="gramStart"/>
            <w:r w:rsidRPr="000A18E8">
              <w:rPr>
                <w:sz w:val="22"/>
                <w:szCs w:val="22"/>
              </w:rPr>
              <w:t>are able to</w:t>
            </w:r>
            <w:proofErr w:type="gramEnd"/>
            <w:r w:rsidRPr="000A18E8">
              <w:rPr>
                <w:sz w:val="22"/>
                <w:szCs w:val="22"/>
              </w:rPr>
              <w:t xml:space="preserve"> access playtimes, morning and lunchtimes with reduced incidences. </w:t>
            </w:r>
          </w:p>
          <w:p w14:paraId="196532D7" w14:textId="77777777" w:rsidR="00F12708" w:rsidRPr="000A18E8" w:rsidRDefault="00F12708" w:rsidP="00F12708">
            <w:pPr>
              <w:pStyle w:val="TableRowCentered"/>
              <w:numPr>
                <w:ilvl w:val="0"/>
                <w:numId w:val="15"/>
              </w:numPr>
              <w:jc w:val="left"/>
              <w:rPr>
                <w:sz w:val="22"/>
                <w:szCs w:val="22"/>
              </w:rPr>
            </w:pPr>
            <w:r w:rsidRPr="000A18E8">
              <w:rPr>
                <w:sz w:val="22"/>
                <w:szCs w:val="22"/>
              </w:rPr>
              <w:t>Disadvantaged children are happy at morning and lunchtime playtimes.</w:t>
            </w:r>
          </w:p>
          <w:p w14:paraId="2A7D5508" w14:textId="2D2E4A49" w:rsidR="00F12708" w:rsidRPr="000A18E8" w:rsidRDefault="00F12708" w:rsidP="00F12708">
            <w:pPr>
              <w:pStyle w:val="TableRowCentered"/>
              <w:numPr>
                <w:ilvl w:val="0"/>
                <w:numId w:val="15"/>
              </w:numPr>
              <w:jc w:val="left"/>
              <w:rPr>
                <w:sz w:val="22"/>
                <w:szCs w:val="22"/>
              </w:rPr>
            </w:pPr>
            <w:r w:rsidRPr="000A18E8">
              <w:rPr>
                <w:sz w:val="22"/>
                <w:szCs w:val="22"/>
              </w:rPr>
              <w:t>Bespoke interventions are in place for those children who need it.</w:t>
            </w:r>
          </w:p>
        </w:tc>
      </w:tr>
      <w:tr w:rsidR="00E66558" w:rsidRPr="000A18E8" w14:paraId="2A7D550C" w14:textId="77777777" w:rsidTr="00B57378">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2BBCE40" w:rsidR="00E66558" w:rsidRPr="000A18E8" w:rsidRDefault="00E22598">
            <w:pPr>
              <w:pStyle w:val="TableRow"/>
              <w:rPr>
                <w:sz w:val="22"/>
                <w:szCs w:val="22"/>
              </w:rPr>
            </w:pPr>
            <w:r w:rsidRPr="000A18E8">
              <w:rPr>
                <w:sz w:val="22"/>
                <w:szCs w:val="22"/>
              </w:rPr>
              <w:t>Disadvantaged children to have access to a broad and balanced curriculum.</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7E3D8" w14:textId="77777777" w:rsidR="00F12708" w:rsidRPr="000A18E8" w:rsidRDefault="00F12708" w:rsidP="00F12708">
            <w:pPr>
              <w:pStyle w:val="TableRowCentered"/>
              <w:numPr>
                <w:ilvl w:val="0"/>
                <w:numId w:val="18"/>
              </w:numPr>
              <w:jc w:val="left"/>
              <w:rPr>
                <w:sz w:val="22"/>
                <w:szCs w:val="22"/>
              </w:rPr>
            </w:pPr>
            <w:r w:rsidRPr="000A18E8">
              <w:rPr>
                <w:sz w:val="22"/>
                <w:szCs w:val="22"/>
              </w:rPr>
              <w:t xml:space="preserve">The curriculum is ambitious for disadvantaged </w:t>
            </w:r>
            <w:proofErr w:type="gramStart"/>
            <w:r w:rsidRPr="000A18E8">
              <w:rPr>
                <w:sz w:val="22"/>
                <w:szCs w:val="22"/>
              </w:rPr>
              <w:t>pupils</w:t>
            </w:r>
            <w:proofErr w:type="gramEnd"/>
            <w:r w:rsidRPr="000A18E8">
              <w:rPr>
                <w:sz w:val="22"/>
                <w:szCs w:val="22"/>
              </w:rPr>
              <w:t xml:space="preserve"> </w:t>
            </w:r>
          </w:p>
          <w:p w14:paraId="2A7D550B" w14:textId="689B8DB2" w:rsidR="00E66558" w:rsidRPr="000A18E8" w:rsidRDefault="00F12708" w:rsidP="00F12708">
            <w:pPr>
              <w:pStyle w:val="TableRowCentered"/>
              <w:numPr>
                <w:ilvl w:val="0"/>
                <w:numId w:val="18"/>
              </w:numPr>
              <w:jc w:val="left"/>
              <w:rPr>
                <w:sz w:val="22"/>
                <w:szCs w:val="22"/>
              </w:rPr>
            </w:pPr>
            <w:r w:rsidRPr="000A18E8">
              <w:rPr>
                <w:sz w:val="22"/>
                <w:szCs w:val="22"/>
              </w:rPr>
              <w:t xml:space="preserve">Monitoring activities (moderation of outcomes in books, planning </w:t>
            </w:r>
            <w:proofErr w:type="spellStart"/>
            <w:r w:rsidRPr="000A18E8">
              <w:rPr>
                <w:sz w:val="22"/>
                <w:szCs w:val="22"/>
              </w:rPr>
              <w:t>scrutinies</w:t>
            </w:r>
            <w:proofErr w:type="spellEnd"/>
            <w:r w:rsidRPr="000A18E8">
              <w:rPr>
                <w:sz w:val="22"/>
                <w:szCs w:val="22"/>
              </w:rPr>
              <w:t xml:space="preserve">, termly data analysis) undertaken by SLT and subject leaders evidence Quality First Teaching and </w:t>
            </w:r>
            <w:proofErr w:type="gramStart"/>
            <w:r w:rsidRPr="000A18E8">
              <w:rPr>
                <w:sz w:val="22"/>
                <w:szCs w:val="22"/>
              </w:rPr>
              <w:t>high quality</w:t>
            </w:r>
            <w:proofErr w:type="gramEnd"/>
            <w:r w:rsidRPr="000A18E8">
              <w:rPr>
                <w:sz w:val="22"/>
                <w:szCs w:val="22"/>
              </w:rPr>
              <w:t xml:space="preserve"> work for disadvantaged pupils</w:t>
            </w:r>
          </w:p>
        </w:tc>
      </w:tr>
      <w:tr w:rsidR="00E66558" w:rsidRPr="000A18E8" w14:paraId="2A7D550F" w14:textId="77777777" w:rsidTr="00B57378">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35FA290" w:rsidR="00E66558" w:rsidRPr="000A18E8" w:rsidRDefault="00E22598">
            <w:pPr>
              <w:pStyle w:val="TableRow"/>
              <w:rPr>
                <w:sz w:val="22"/>
                <w:szCs w:val="22"/>
              </w:rPr>
            </w:pPr>
            <w:r w:rsidRPr="000A18E8">
              <w:rPr>
                <w:sz w:val="22"/>
                <w:szCs w:val="22"/>
              </w:rPr>
              <w:t>Disadvantaged children to be able to access</w:t>
            </w:r>
            <w:r w:rsidR="000A18E8">
              <w:rPr>
                <w:sz w:val="22"/>
                <w:szCs w:val="22"/>
              </w:rPr>
              <w:t xml:space="preserve"> whole of</w:t>
            </w:r>
            <w:r w:rsidRPr="000A18E8">
              <w:rPr>
                <w:sz w:val="22"/>
                <w:szCs w:val="22"/>
              </w:rPr>
              <w:t xml:space="preserve"> school life.</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3228" w14:textId="77777777" w:rsidR="00F12708" w:rsidRPr="000A18E8" w:rsidRDefault="00F12708" w:rsidP="00F12708">
            <w:pPr>
              <w:pStyle w:val="TableRowCentered"/>
              <w:numPr>
                <w:ilvl w:val="0"/>
                <w:numId w:val="19"/>
              </w:numPr>
              <w:jc w:val="left"/>
              <w:rPr>
                <w:sz w:val="22"/>
                <w:szCs w:val="22"/>
              </w:rPr>
            </w:pPr>
            <w:r w:rsidRPr="000A18E8">
              <w:rPr>
                <w:sz w:val="22"/>
                <w:szCs w:val="22"/>
              </w:rPr>
              <w:t xml:space="preserve">Disadvantaged pupils acquire the knowledge and cultural capital they need to succeed in </w:t>
            </w:r>
            <w:proofErr w:type="gramStart"/>
            <w:r w:rsidRPr="000A18E8">
              <w:rPr>
                <w:sz w:val="22"/>
                <w:szCs w:val="22"/>
              </w:rPr>
              <w:t>life</w:t>
            </w:r>
            <w:proofErr w:type="gramEnd"/>
            <w:r w:rsidRPr="000A18E8">
              <w:rPr>
                <w:sz w:val="22"/>
                <w:szCs w:val="22"/>
              </w:rPr>
              <w:t xml:space="preserve"> </w:t>
            </w:r>
          </w:p>
          <w:p w14:paraId="32F42F60" w14:textId="77777777" w:rsidR="00F12708" w:rsidRPr="000A18E8" w:rsidRDefault="00F12708" w:rsidP="00F12708">
            <w:pPr>
              <w:pStyle w:val="TableRowCentered"/>
              <w:numPr>
                <w:ilvl w:val="0"/>
                <w:numId w:val="19"/>
              </w:numPr>
              <w:jc w:val="left"/>
              <w:rPr>
                <w:sz w:val="22"/>
                <w:szCs w:val="22"/>
              </w:rPr>
            </w:pPr>
            <w:r w:rsidRPr="000A18E8">
              <w:rPr>
                <w:sz w:val="22"/>
                <w:szCs w:val="22"/>
              </w:rPr>
              <w:t xml:space="preserve">Disadvantaged pupils have access to a wide, rich set of experiences and opportunities to develop their talents and </w:t>
            </w:r>
            <w:proofErr w:type="gramStart"/>
            <w:r w:rsidRPr="000A18E8">
              <w:rPr>
                <w:sz w:val="22"/>
                <w:szCs w:val="22"/>
              </w:rPr>
              <w:t>interests</w:t>
            </w:r>
            <w:proofErr w:type="gramEnd"/>
            <w:r w:rsidRPr="000A18E8">
              <w:rPr>
                <w:sz w:val="22"/>
                <w:szCs w:val="22"/>
              </w:rPr>
              <w:t xml:space="preserve"> </w:t>
            </w:r>
          </w:p>
          <w:p w14:paraId="7DA86AA6" w14:textId="77777777" w:rsidR="00F12708" w:rsidRPr="000A18E8" w:rsidRDefault="00F12708" w:rsidP="00F12708">
            <w:pPr>
              <w:pStyle w:val="TableRowCentered"/>
              <w:numPr>
                <w:ilvl w:val="0"/>
                <w:numId w:val="19"/>
              </w:numPr>
              <w:jc w:val="left"/>
              <w:rPr>
                <w:sz w:val="22"/>
                <w:szCs w:val="22"/>
              </w:rPr>
            </w:pPr>
            <w:r w:rsidRPr="000A18E8">
              <w:rPr>
                <w:sz w:val="22"/>
                <w:szCs w:val="22"/>
              </w:rPr>
              <w:t xml:space="preserve">There is strong take-up by disadvantaged pupils of the extracurricular opportunities provided by the </w:t>
            </w:r>
            <w:proofErr w:type="gramStart"/>
            <w:r w:rsidRPr="000A18E8">
              <w:rPr>
                <w:sz w:val="22"/>
                <w:szCs w:val="22"/>
              </w:rPr>
              <w:t>school</w:t>
            </w:r>
            <w:proofErr w:type="gramEnd"/>
            <w:r w:rsidRPr="000A18E8">
              <w:rPr>
                <w:sz w:val="22"/>
                <w:szCs w:val="22"/>
              </w:rPr>
              <w:t xml:space="preserve"> </w:t>
            </w:r>
          </w:p>
          <w:p w14:paraId="7ACE3F3A" w14:textId="77777777" w:rsidR="00F12708" w:rsidRPr="000A18E8" w:rsidRDefault="00F12708" w:rsidP="00F12708">
            <w:pPr>
              <w:pStyle w:val="TableRowCentered"/>
              <w:numPr>
                <w:ilvl w:val="0"/>
                <w:numId w:val="19"/>
              </w:numPr>
              <w:jc w:val="left"/>
              <w:rPr>
                <w:sz w:val="22"/>
                <w:szCs w:val="22"/>
              </w:rPr>
            </w:pPr>
            <w:r w:rsidRPr="000A18E8">
              <w:rPr>
                <w:sz w:val="22"/>
                <w:szCs w:val="22"/>
              </w:rPr>
              <w:t xml:space="preserve">100% of PP pupils access all school trips and visits planned for their </w:t>
            </w:r>
            <w:proofErr w:type="gramStart"/>
            <w:r w:rsidRPr="000A18E8">
              <w:rPr>
                <w:sz w:val="22"/>
                <w:szCs w:val="22"/>
              </w:rPr>
              <w:t>class</w:t>
            </w:r>
            <w:proofErr w:type="gramEnd"/>
            <w:r w:rsidRPr="000A18E8">
              <w:rPr>
                <w:sz w:val="22"/>
                <w:szCs w:val="22"/>
              </w:rPr>
              <w:t xml:space="preserve"> </w:t>
            </w:r>
          </w:p>
          <w:p w14:paraId="2A7D550E" w14:textId="15084F13" w:rsidR="00E66558" w:rsidRPr="000A18E8" w:rsidRDefault="00F12708" w:rsidP="00F12708">
            <w:pPr>
              <w:pStyle w:val="TableRowCentered"/>
              <w:numPr>
                <w:ilvl w:val="0"/>
                <w:numId w:val="19"/>
              </w:numPr>
              <w:jc w:val="left"/>
              <w:rPr>
                <w:sz w:val="22"/>
                <w:szCs w:val="22"/>
              </w:rPr>
            </w:pPr>
            <w:r w:rsidRPr="000A18E8">
              <w:rPr>
                <w:sz w:val="22"/>
                <w:szCs w:val="22"/>
              </w:rPr>
              <w:t xml:space="preserve">PP Children are exposed to a wide range of social, cultural, enrichment and sporting </w:t>
            </w:r>
            <w:r w:rsidRPr="000A18E8">
              <w:rPr>
                <w:sz w:val="22"/>
                <w:szCs w:val="22"/>
              </w:rPr>
              <w:lastRenderedPageBreak/>
              <w:t>experiences within (and outside) the school day</w:t>
            </w:r>
          </w:p>
        </w:tc>
      </w:tr>
      <w:tr w:rsidR="00E22598" w:rsidRPr="000A18E8" w14:paraId="6FD9F912" w14:textId="77777777" w:rsidTr="00B57378">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B7953" w14:textId="545A068E" w:rsidR="00E22598" w:rsidRPr="000A18E8" w:rsidRDefault="005E5C01">
            <w:pPr>
              <w:pStyle w:val="TableRow"/>
              <w:rPr>
                <w:sz w:val="22"/>
                <w:szCs w:val="22"/>
              </w:rPr>
            </w:pPr>
            <w:r w:rsidRPr="000A18E8">
              <w:rPr>
                <w:sz w:val="22"/>
                <w:szCs w:val="22"/>
              </w:rPr>
              <w:lastRenderedPageBreak/>
              <w:t>Disadvantaged children perform at least in line with their peer group.</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2D670" w14:textId="77777777" w:rsidR="00B57378" w:rsidRPr="000A18E8" w:rsidRDefault="00B57378" w:rsidP="00B57378">
            <w:pPr>
              <w:pStyle w:val="TableRowCentered"/>
              <w:numPr>
                <w:ilvl w:val="0"/>
                <w:numId w:val="16"/>
              </w:numPr>
              <w:jc w:val="left"/>
              <w:rPr>
                <w:sz w:val="22"/>
                <w:szCs w:val="22"/>
              </w:rPr>
            </w:pPr>
            <w:r w:rsidRPr="000A18E8">
              <w:rPr>
                <w:sz w:val="22"/>
                <w:szCs w:val="22"/>
              </w:rPr>
              <w:t xml:space="preserve">In all years disadvantaged children attain at least in line with their non disadvantaged peers in </w:t>
            </w:r>
            <w:proofErr w:type="gramStart"/>
            <w:r w:rsidRPr="000A18E8">
              <w:rPr>
                <w:sz w:val="22"/>
                <w:szCs w:val="22"/>
              </w:rPr>
              <w:t>R,W</w:t>
            </w:r>
            <w:proofErr w:type="gramEnd"/>
            <w:r w:rsidRPr="000A18E8">
              <w:rPr>
                <w:sz w:val="22"/>
                <w:szCs w:val="22"/>
              </w:rPr>
              <w:t>,M.</w:t>
            </w:r>
          </w:p>
          <w:p w14:paraId="04B2D178" w14:textId="77777777" w:rsidR="00B57378" w:rsidRPr="000A18E8" w:rsidRDefault="00B57378" w:rsidP="00B57378">
            <w:pPr>
              <w:pStyle w:val="TableRowCentered"/>
              <w:numPr>
                <w:ilvl w:val="0"/>
                <w:numId w:val="16"/>
              </w:numPr>
              <w:jc w:val="left"/>
              <w:rPr>
                <w:sz w:val="22"/>
                <w:szCs w:val="22"/>
              </w:rPr>
            </w:pPr>
            <w:r w:rsidRPr="000A18E8">
              <w:rPr>
                <w:sz w:val="22"/>
                <w:szCs w:val="22"/>
              </w:rPr>
              <w:t xml:space="preserve">Disadvantaged pupils consistently achieve highly in EY, KS1 &amp; KS2 </w:t>
            </w:r>
          </w:p>
          <w:p w14:paraId="16C65BF4" w14:textId="77777777" w:rsidR="00B57378" w:rsidRPr="000A18E8" w:rsidRDefault="00B57378" w:rsidP="00B57378">
            <w:pPr>
              <w:pStyle w:val="TableRowCentered"/>
              <w:numPr>
                <w:ilvl w:val="0"/>
                <w:numId w:val="16"/>
              </w:numPr>
              <w:jc w:val="left"/>
              <w:rPr>
                <w:sz w:val="22"/>
                <w:szCs w:val="22"/>
              </w:rPr>
            </w:pPr>
            <w:r w:rsidRPr="000A18E8">
              <w:rPr>
                <w:sz w:val="22"/>
                <w:szCs w:val="22"/>
              </w:rPr>
              <w:t xml:space="preserve">More able disadvantaged pupils in all areas of school make good progress in line with their individual aspirational </w:t>
            </w:r>
            <w:proofErr w:type="gramStart"/>
            <w:r w:rsidRPr="000A18E8">
              <w:rPr>
                <w:sz w:val="22"/>
                <w:szCs w:val="22"/>
              </w:rPr>
              <w:t>targets</w:t>
            </w:r>
            <w:proofErr w:type="gramEnd"/>
            <w:r w:rsidRPr="000A18E8">
              <w:rPr>
                <w:sz w:val="22"/>
                <w:szCs w:val="22"/>
              </w:rPr>
              <w:t xml:space="preserve"> </w:t>
            </w:r>
          </w:p>
          <w:p w14:paraId="53FEF491" w14:textId="77777777" w:rsidR="00B57378" w:rsidRPr="000A18E8" w:rsidRDefault="00B57378" w:rsidP="00B57378">
            <w:pPr>
              <w:pStyle w:val="TableRowCentered"/>
              <w:numPr>
                <w:ilvl w:val="0"/>
                <w:numId w:val="16"/>
              </w:numPr>
              <w:jc w:val="left"/>
              <w:rPr>
                <w:sz w:val="22"/>
                <w:szCs w:val="22"/>
              </w:rPr>
            </w:pPr>
            <w:r w:rsidRPr="000A18E8">
              <w:rPr>
                <w:sz w:val="22"/>
                <w:szCs w:val="22"/>
              </w:rPr>
              <w:t xml:space="preserve">Disadvantaged children receive targeted intervention to accelerate progress. • Intervention records evidence high quality, targeted support </w:t>
            </w:r>
          </w:p>
          <w:p w14:paraId="6D3A479B" w14:textId="48FE047C" w:rsidR="00E22598" w:rsidRPr="000A18E8" w:rsidRDefault="00B57378" w:rsidP="00B57378">
            <w:pPr>
              <w:pStyle w:val="TableRowCentered"/>
              <w:numPr>
                <w:ilvl w:val="0"/>
                <w:numId w:val="16"/>
              </w:numPr>
              <w:jc w:val="left"/>
              <w:rPr>
                <w:sz w:val="22"/>
                <w:szCs w:val="22"/>
              </w:rPr>
            </w:pPr>
            <w:r w:rsidRPr="000A18E8">
              <w:rPr>
                <w:sz w:val="22"/>
                <w:szCs w:val="22"/>
              </w:rPr>
              <w:t xml:space="preserve">SLT and teachers are aware of the attainment, </w:t>
            </w:r>
            <w:proofErr w:type="gramStart"/>
            <w:r w:rsidRPr="000A18E8">
              <w:rPr>
                <w:sz w:val="22"/>
                <w:szCs w:val="22"/>
              </w:rPr>
              <w:t>progress</w:t>
            </w:r>
            <w:proofErr w:type="gramEnd"/>
            <w:r w:rsidRPr="000A18E8">
              <w:rPr>
                <w:sz w:val="22"/>
                <w:szCs w:val="22"/>
              </w:rPr>
              <w:t xml:space="preserve"> and trajectory for pupils</w:t>
            </w:r>
          </w:p>
        </w:tc>
      </w:tr>
      <w:tr w:rsidR="005E5C01" w:rsidRPr="000A18E8" w14:paraId="70873F3F" w14:textId="77777777" w:rsidTr="00B57378">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BE967" w14:textId="6CE2B9B9" w:rsidR="005E5C01" w:rsidRPr="000A18E8" w:rsidRDefault="005E5C01">
            <w:pPr>
              <w:pStyle w:val="TableRow"/>
              <w:rPr>
                <w:sz w:val="22"/>
                <w:szCs w:val="22"/>
              </w:rPr>
            </w:pPr>
            <w:r w:rsidRPr="000A18E8">
              <w:rPr>
                <w:sz w:val="22"/>
                <w:szCs w:val="22"/>
              </w:rPr>
              <w:t>Disadvantaged children attend school regularly.</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904C7" w14:textId="77777777" w:rsidR="00B57378" w:rsidRPr="000A18E8" w:rsidRDefault="00B57378" w:rsidP="00B57378">
            <w:pPr>
              <w:pStyle w:val="TableRowCentered"/>
              <w:numPr>
                <w:ilvl w:val="0"/>
                <w:numId w:val="17"/>
              </w:numPr>
              <w:jc w:val="left"/>
              <w:rPr>
                <w:sz w:val="22"/>
                <w:szCs w:val="22"/>
              </w:rPr>
            </w:pPr>
            <w:r w:rsidRPr="000A18E8">
              <w:rPr>
                <w:sz w:val="22"/>
                <w:szCs w:val="22"/>
              </w:rPr>
              <w:t xml:space="preserve">Disadvantaged pupils’ attendance is inline or better than </w:t>
            </w:r>
            <w:proofErr w:type="spellStart"/>
            <w:r w:rsidRPr="000A18E8">
              <w:rPr>
                <w:sz w:val="22"/>
                <w:szCs w:val="22"/>
              </w:rPr>
              <w:t>non disadvantaged</w:t>
            </w:r>
            <w:proofErr w:type="spellEnd"/>
            <w:r w:rsidRPr="000A18E8">
              <w:rPr>
                <w:sz w:val="22"/>
                <w:szCs w:val="22"/>
              </w:rPr>
              <w:t xml:space="preserve"> children </w:t>
            </w:r>
            <w:proofErr w:type="gramStart"/>
            <w:r w:rsidRPr="000A18E8">
              <w:rPr>
                <w:sz w:val="22"/>
                <w:szCs w:val="22"/>
              </w:rPr>
              <w:t>nationally</w:t>
            </w:r>
            <w:proofErr w:type="gramEnd"/>
            <w:r w:rsidRPr="000A18E8">
              <w:rPr>
                <w:sz w:val="22"/>
                <w:szCs w:val="22"/>
              </w:rPr>
              <w:t xml:space="preserve"> </w:t>
            </w:r>
          </w:p>
          <w:p w14:paraId="0BE5902D" w14:textId="77777777" w:rsidR="00B57378" w:rsidRPr="000A18E8" w:rsidRDefault="00B57378" w:rsidP="00B57378">
            <w:pPr>
              <w:pStyle w:val="TableRowCentered"/>
              <w:numPr>
                <w:ilvl w:val="0"/>
                <w:numId w:val="17"/>
              </w:numPr>
              <w:jc w:val="left"/>
              <w:rPr>
                <w:sz w:val="22"/>
                <w:szCs w:val="22"/>
              </w:rPr>
            </w:pPr>
            <w:r w:rsidRPr="000A18E8">
              <w:rPr>
                <w:sz w:val="22"/>
                <w:szCs w:val="22"/>
              </w:rPr>
              <w:t xml:space="preserve">Persistence absence for disadvantaged pupils is lower than the national </w:t>
            </w:r>
            <w:proofErr w:type="gramStart"/>
            <w:r w:rsidRPr="000A18E8">
              <w:rPr>
                <w:sz w:val="22"/>
                <w:szCs w:val="22"/>
              </w:rPr>
              <w:t>figure</w:t>
            </w:r>
            <w:proofErr w:type="gramEnd"/>
          </w:p>
          <w:p w14:paraId="4651B0AA" w14:textId="77777777" w:rsidR="00B57378" w:rsidRPr="000A18E8" w:rsidRDefault="00B57378" w:rsidP="00B57378">
            <w:pPr>
              <w:pStyle w:val="TableRowCentered"/>
              <w:numPr>
                <w:ilvl w:val="0"/>
                <w:numId w:val="17"/>
              </w:numPr>
              <w:jc w:val="left"/>
              <w:rPr>
                <w:sz w:val="22"/>
                <w:szCs w:val="22"/>
              </w:rPr>
            </w:pPr>
            <w:r w:rsidRPr="000A18E8">
              <w:rPr>
                <w:sz w:val="22"/>
                <w:szCs w:val="22"/>
              </w:rPr>
              <w:t xml:space="preserve">Disadvantaged pupils and their parents understand the importance of good attendance and enjoy coming to </w:t>
            </w:r>
            <w:proofErr w:type="gramStart"/>
            <w:r w:rsidRPr="000A18E8">
              <w:rPr>
                <w:sz w:val="22"/>
                <w:szCs w:val="22"/>
              </w:rPr>
              <w:t>school</w:t>
            </w:r>
            <w:proofErr w:type="gramEnd"/>
          </w:p>
          <w:p w14:paraId="2308D31C" w14:textId="77777777" w:rsidR="00B57378" w:rsidRPr="000A18E8" w:rsidRDefault="00B57378" w:rsidP="00B57378">
            <w:pPr>
              <w:pStyle w:val="TableRowCentered"/>
              <w:numPr>
                <w:ilvl w:val="0"/>
                <w:numId w:val="17"/>
              </w:numPr>
              <w:jc w:val="left"/>
              <w:rPr>
                <w:sz w:val="22"/>
                <w:szCs w:val="22"/>
              </w:rPr>
            </w:pPr>
            <w:r w:rsidRPr="000A18E8">
              <w:rPr>
                <w:sz w:val="22"/>
                <w:szCs w:val="22"/>
              </w:rPr>
              <w:t xml:space="preserve">Attendance action plans are in place for all identified </w:t>
            </w:r>
            <w:proofErr w:type="gramStart"/>
            <w:r w:rsidRPr="000A18E8">
              <w:rPr>
                <w:sz w:val="22"/>
                <w:szCs w:val="22"/>
              </w:rPr>
              <w:t>pupils</w:t>
            </w:r>
            <w:proofErr w:type="gramEnd"/>
          </w:p>
          <w:p w14:paraId="0935D05D" w14:textId="654F01E6" w:rsidR="005E5C01" w:rsidRPr="000A18E8" w:rsidRDefault="00B57378" w:rsidP="00B57378">
            <w:pPr>
              <w:pStyle w:val="TableRowCentered"/>
              <w:numPr>
                <w:ilvl w:val="0"/>
                <w:numId w:val="17"/>
              </w:numPr>
              <w:jc w:val="left"/>
              <w:rPr>
                <w:sz w:val="22"/>
                <w:szCs w:val="22"/>
              </w:rPr>
            </w:pPr>
            <w:r w:rsidRPr="000A18E8">
              <w:rPr>
                <w:sz w:val="22"/>
                <w:szCs w:val="22"/>
              </w:rPr>
              <w:t>Bespoke support is provided for disadvantaged families as required</w:t>
            </w:r>
          </w:p>
        </w:tc>
      </w:tr>
      <w:tr w:rsidR="005E5C01" w:rsidRPr="000A18E8" w14:paraId="12639ED8" w14:textId="77777777" w:rsidTr="00B57378">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9C9C0" w14:textId="17EFF76E" w:rsidR="005E5C01" w:rsidRPr="000A18E8" w:rsidRDefault="005E5C01">
            <w:pPr>
              <w:pStyle w:val="TableRow"/>
              <w:rPr>
                <w:sz w:val="22"/>
                <w:szCs w:val="22"/>
              </w:rPr>
            </w:pPr>
            <w:r w:rsidRPr="000A18E8">
              <w:rPr>
                <w:sz w:val="22"/>
                <w:szCs w:val="22"/>
              </w:rPr>
              <w:t>Disadvantaged children demonstrate excellent levels of wellbeing.</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6D066" w14:textId="77777777" w:rsidR="00F12708" w:rsidRPr="000A18E8" w:rsidRDefault="00F12708" w:rsidP="00F12708">
            <w:pPr>
              <w:pStyle w:val="TableRowCentered"/>
              <w:numPr>
                <w:ilvl w:val="0"/>
                <w:numId w:val="20"/>
              </w:numPr>
              <w:jc w:val="left"/>
              <w:rPr>
                <w:sz w:val="22"/>
                <w:szCs w:val="22"/>
              </w:rPr>
            </w:pPr>
            <w:r w:rsidRPr="000A18E8">
              <w:rPr>
                <w:sz w:val="22"/>
                <w:szCs w:val="22"/>
              </w:rPr>
              <w:t xml:space="preserve">Disadvantaged pupils consistently have highly positive attitudes and commitment to their </w:t>
            </w:r>
            <w:proofErr w:type="gramStart"/>
            <w:r w:rsidRPr="000A18E8">
              <w:rPr>
                <w:sz w:val="22"/>
                <w:szCs w:val="22"/>
              </w:rPr>
              <w:t>education</w:t>
            </w:r>
            <w:proofErr w:type="gramEnd"/>
            <w:r w:rsidRPr="000A18E8">
              <w:rPr>
                <w:sz w:val="22"/>
                <w:szCs w:val="22"/>
              </w:rPr>
              <w:t xml:space="preserve"> </w:t>
            </w:r>
          </w:p>
          <w:p w14:paraId="4609F572" w14:textId="77777777" w:rsidR="00F12708" w:rsidRPr="000A18E8" w:rsidRDefault="00F12708" w:rsidP="00F12708">
            <w:pPr>
              <w:pStyle w:val="TableRowCentered"/>
              <w:numPr>
                <w:ilvl w:val="0"/>
                <w:numId w:val="20"/>
              </w:numPr>
              <w:jc w:val="left"/>
              <w:rPr>
                <w:sz w:val="22"/>
                <w:szCs w:val="22"/>
              </w:rPr>
            </w:pPr>
            <w:r w:rsidRPr="000A18E8">
              <w:rPr>
                <w:sz w:val="22"/>
                <w:szCs w:val="22"/>
              </w:rPr>
              <w:t xml:space="preserve">More able disadvantaged pupils demonstrate a growth mind set and resilience when approaching cognitively challenging </w:t>
            </w:r>
            <w:proofErr w:type="gramStart"/>
            <w:r w:rsidRPr="000A18E8">
              <w:rPr>
                <w:sz w:val="22"/>
                <w:szCs w:val="22"/>
              </w:rPr>
              <w:t>activities</w:t>
            </w:r>
            <w:proofErr w:type="gramEnd"/>
            <w:r w:rsidRPr="000A18E8">
              <w:rPr>
                <w:sz w:val="22"/>
                <w:szCs w:val="22"/>
              </w:rPr>
              <w:t xml:space="preserve"> </w:t>
            </w:r>
          </w:p>
          <w:p w14:paraId="2C8E18E5" w14:textId="77777777" w:rsidR="00F12708" w:rsidRPr="000A18E8" w:rsidRDefault="00F12708" w:rsidP="00F12708">
            <w:pPr>
              <w:pStyle w:val="TableRowCentered"/>
              <w:numPr>
                <w:ilvl w:val="0"/>
                <w:numId w:val="20"/>
              </w:numPr>
              <w:jc w:val="left"/>
              <w:rPr>
                <w:sz w:val="22"/>
                <w:szCs w:val="22"/>
              </w:rPr>
            </w:pPr>
            <w:r w:rsidRPr="000A18E8">
              <w:rPr>
                <w:sz w:val="22"/>
                <w:szCs w:val="22"/>
              </w:rPr>
              <w:t xml:space="preserve">Disadvantaged pupils consistently report high levels of wellbeing in </w:t>
            </w:r>
            <w:proofErr w:type="gramStart"/>
            <w:r w:rsidRPr="000A18E8">
              <w:rPr>
                <w:sz w:val="22"/>
                <w:szCs w:val="22"/>
              </w:rPr>
              <w:t>school</w:t>
            </w:r>
            <w:proofErr w:type="gramEnd"/>
          </w:p>
          <w:p w14:paraId="472DFBE8" w14:textId="77777777" w:rsidR="00F12708" w:rsidRPr="000A18E8" w:rsidRDefault="00F12708" w:rsidP="00F12708">
            <w:pPr>
              <w:pStyle w:val="TableRowCentered"/>
              <w:numPr>
                <w:ilvl w:val="0"/>
                <w:numId w:val="20"/>
              </w:numPr>
              <w:jc w:val="left"/>
              <w:rPr>
                <w:sz w:val="22"/>
                <w:szCs w:val="22"/>
              </w:rPr>
            </w:pPr>
            <w:r w:rsidRPr="000A18E8">
              <w:rPr>
                <w:sz w:val="22"/>
                <w:szCs w:val="22"/>
              </w:rPr>
              <w:t xml:space="preserve">Monitoring shows that disadvantaged pupils are highly motivated and persistent in the face of </w:t>
            </w:r>
            <w:proofErr w:type="gramStart"/>
            <w:r w:rsidRPr="000A18E8">
              <w:rPr>
                <w:sz w:val="22"/>
                <w:szCs w:val="22"/>
              </w:rPr>
              <w:t>difficulties</w:t>
            </w:r>
            <w:proofErr w:type="gramEnd"/>
          </w:p>
          <w:p w14:paraId="68175E77" w14:textId="77777777" w:rsidR="00F12708" w:rsidRPr="000A18E8" w:rsidRDefault="00F12708" w:rsidP="00F12708">
            <w:pPr>
              <w:pStyle w:val="TableRowCentered"/>
              <w:numPr>
                <w:ilvl w:val="0"/>
                <w:numId w:val="20"/>
              </w:numPr>
              <w:jc w:val="left"/>
              <w:rPr>
                <w:sz w:val="22"/>
                <w:szCs w:val="22"/>
              </w:rPr>
            </w:pPr>
            <w:r w:rsidRPr="000A18E8">
              <w:rPr>
                <w:sz w:val="22"/>
                <w:szCs w:val="22"/>
              </w:rPr>
              <w:t xml:space="preserve">Disadvantaged pupils make a highly positive, tangible contribution to the life of the school and the wider </w:t>
            </w:r>
            <w:proofErr w:type="gramStart"/>
            <w:r w:rsidRPr="000A18E8">
              <w:rPr>
                <w:sz w:val="22"/>
                <w:szCs w:val="22"/>
              </w:rPr>
              <w:t>community</w:t>
            </w:r>
            <w:proofErr w:type="gramEnd"/>
          </w:p>
          <w:p w14:paraId="360459BD" w14:textId="77777777" w:rsidR="00F12708" w:rsidRPr="000A18E8" w:rsidRDefault="00F12708" w:rsidP="00F12708">
            <w:pPr>
              <w:pStyle w:val="TableRowCentered"/>
              <w:numPr>
                <w:ilvl w:val="0"/>
                <w:numId w:val="20"/>
              </w:numPr>
              <w:jc w:val="left"/>
              <w:rPr>
                <w:sz w:val="22"/>
                <w:szCs w:val="22"/>
              </w:rPr>
            </w:pPr>
            <w:r w:rsidRPr="000A18E8">
              <w:rPr>
                <w:sz w:val="22"/>
                <w:szCs w:val="22"/>
              </w:rPr>
              <w:t xml:space="preserve">Disadvantaged pupils actively support the wellbeing other </w:t>
            </w:r>
            <w:proofErr w:type="gramStart"/>
            <w:r w:rsidRPr="000A18E8">
              <w:rPr>
                <w:sz w:val="22"/>
                <w:szCs w:val="22"/>
              </w:rPr>
              <w:t>pupils</w:t>
            </w:r>
            <w:proofErr w:type="gramEnd"/>
          </w:p>
          <w:p w14:paraId="65B86A8C" w14:textId="77777777" w:rsidR="00F12708" w:rsidRPr="000A18E8" w:rsidRDefault="00F12708" w:rsidP="00F12708">
            <w:pPr>
              <w:pStyle w:val="TableRowCentered"/>
              <w:numPr>
                <w:ilvl w:val="0"/>
                <w:numId w:val="20"/>
              </w:numPr>
              <w:jc w:val="left"/>
              <w:rPr>
                <w:sz w:val="22"/>
                <w:szCs w:val="22"/>
              </w:rPr>
            </w:pPr>
            <w:r w:rsidRPr="000A18E8">
              <w:rPr>
                <w:sz w:val="22"/>
                <w:szCs w:val="22"/>
              </w:rPr>
              <w:t xml:space="preserve">Disadvantaged pupils to recognise online and offline risks to their </w:t>
            </w:r>
            <w:proofErr w:type="gramStart"/>
            <w:r w:rsidRPr="000A18E8">
              <w:rPr>
                <w:sz w:val="22"/>
                <w:szCs w:val="22"/>
              </w:rPr>
              <w:t>well-being</w:t>
            </w:r>
            <w:proofErr w:type="gramEnd"/>
          </w:p>
          <w:p w14:paraId="255D9681" w14:textId="37CA44A6" w:rsidR="005E5C01" w:rsidRPr="000A18E8" w:rsidRDefault="00F12708" w:rsidP="00F12708">
            <w:pPr>
              <w:pStyle w:val="TableRowCentered"/>
              <w:numPr>
                <w:ilvl w:val="0"/>
                <w:numId w:val="20"/>
              </w:numPr>
              <w:jc w:val="left"/>
              <w:rPr>
                <w:sz w:val="22"/>
                <w:szCs w:val="22"/>
              </w:rPr>
            </w:pPr>
            <w:r w:rsidRPr="000A18E8">
              <w:rPr>
                <w:sz w:val="22"/>
                <w:szCs w:val="22"/>
              </w:rPr>
              <w:t>All PP pupils have access to full school uniform</w:t>
            </w:r>
          </w:p>
        </w:tc>
      </w:tr>
    </w:tbl>
    <w:p w14:paraId="2A06959E" w14:textId="77777777" w:rsidR="00120AB1" w:rsidRPr="000A18E8" w:rsidRDefault="00120AB1">
      <w:pPr>
        <w:suppressAutoHyphens w:val="0"/>
        <w:spacing w:after="0" w:line="240" w:lineRule="auto"/>
        <w:rPr>
          <w:b/>
          <w:color w:val="104F75"/>
          <w:sz w:val="22"/>
          <w:szCs w:val="22"/>
        </w:rPr>
      </w:pPr>
      <w:r w:rsidRPr="000A18E8">
        <w:rPr>
          <w:sz w:val="22"/>
          <w:szCs w:val="22"/>
        </w:rPr>
        <w:br w:type="page"/>
      </w:r>
    </w:p>
    <w:p w14:paraId="2A7D5512" w14:textId="33B2042E" w:rsidR="00E66558" w:rsidRDefault="009D71E8">
      <w:pPr>
        <w:pStyle w:val="Heading2"/>
      </w:pPr>
      <w:r>
        <w:lastRenderedPageBreak/>
        <w:t>Activity in this academic year</w:t>
      </w:r>
      <w:r w:rsidR="00E56292">
        <w:t xml:space="preserve"> 202</w:t>
      </w:r>
      <w:r w:rsidR="00B4006C">
        <w:t>2</w:t>
      </w:r>
      <w:r w:rsidR="00E56292">
        <w:t>-2</w:t>
      </w:r>
      <w:r w:rsidR="00B4006C">
        <w:t>3</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5983EE1" w:rsidR="00E66558" w:rsidRDefault="009D71E8">
      <w:r>
        <w:t xml:space="preserve">Budgeted cost: £ </w:t>
      </w:r>
      <w:r w:rsidR="008A1EFD">
        <w:t>4,509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616B8A9" w:rsidR="00E66558" w:rsidRDefault="00FC07E6">
            <w:pPr>
              <w:pStyle w:val="TableRow"/>
            </w:pPr>
            <w:r>
              <w:t>Purchase</w:t>
            </w:r>
            <w:r w:rsidR="00B4006C">
              <w:t xml:space="preserve">d </w:t>
            </w:r>
            <w:r>
              <w:t xml:space="preserve">Little Wandle Letters and Sounds </w:t>
            </w:r>
            <w:r w:rsidR="00B4006C">
              <w:t>phonetically matched book scheme</w:t>
            </w:r>
            <w:r w:rsidR="009C7522">
              <w:t xml:space="preserve"> and additional CPD opportunities for all staff delivering LW.</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5509EC1F" w:rsidR="00E66558" w:rsidRDefault="00FC07E6">
            <w:pPr>
              <w:pStyle w:val="TableRowCentered"/>
              <w:jc w:val="left"/>
              <w:rPr>
                <w:sz w:val="22"/>
              </w:rPr>
            </w:pPr>
            <w:r>
              <w:t>Research for the OFSTED Framework highlights the point that if pupils cannot read, they will not be able to access the curriculum, and will be disadvantaged for life. Education Endowment Foundation – Phonics + 4 months Phonics approaches have been consistently found to be effective in supporting younger readers to master the basics of reading, with an average impact of an additional four months’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93671A9" w:rsidR="00E66558" w:rsidRDefault="000A18E8">
            <w:pPr>
              <w:pStyle w:val="TableRowCentered"/>
              <w:jc w:val="left"/>
              <w:rPr>
                <w:sz w:val="22"/>
              </w:rPr>
            </w:pPr>
            <w:r>
              <w:rPr>
                <w:sz w:val="22"/>
              </w:rPr>
              <w:t>4, 5 and 6</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025BAAB3" w:rsidR="00E66558" w:rsidRPr="00FC07E6" w:rsidRDefault="00FC07E6">
            <w:pPr>
              <w:pStyle w:val="TableRow"/>
              <w:rPr>
                <w:iCs/>
                <w:sz w:val="22"/>
              </w:rPr>
            </w:pPr>
            <w:r w:rsidRPr="00FC07E6">
              <w:rPr>
                <w:iCs/>
                <w:sz w:val="22"/>
              </w:rPr>
              <w:t xml:space="preserve">Blank level </w:t>
            </w:r>
            <w:r w:rsidR="00931820">
              <w:rPr>
                <w:iCs/>
                <w:sz w:val="22"/>
              </w:rPr>
              <w:t>SALT</w:t>
            </w:r>
            <w:r w:rsidR="0026095D">
              <w:rPr>
                <w:iCs/>
                <w:sz w:val="22"/>
              </w:rPr>
              <w:t xml:space="preserve"> and </w:t>
            </w:r>
            <w:r w:rsidR="00931820">
              <w:rPr>
                <w:iCs/>
                <w:sz w:val="22"/>
              </w:rPr>
              <w:t xml:space="preserve">Vocabulary </w:t>
            </w:r>
            <w:r w:rsidR="0026095D">
              <w:rPr>
                <w:iCs/>
                <w:sz w:val="22"/>
              </w:rPr>
              <w:t xml:space="preserve">VIPERS </w:t>
            </w:r>
            <w:r w:rsidRPr="00FC07E6">
              <w:rPr>
                <w:iCs/>
                <w:sz w:val="22"/>
              </w:rPr>
              <w:t>training</w:t>
            </w:r>
            <w:r w:rsidR="00931820">
              <w:rPr>
                <w:iCs/>
                <w:sz w:val="22"/>
              </w:rPr>
              <w:t xml:space="preserve"> </w:t>
            </w:r>
            <w:r w:rsidR="00931820">
              <w:t>targeted at enabling vulnerable /disadvantaged groups to access higher tiers of language</w:t>
            </w:r>
            <w:r w:rsidR="0026095D">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68903321" w:rsidR="00E66558" w:rsidRDefault="00931820">
            <w:pPr>
              <w:pStyle w:val="TableRowCentered"/>
              <w:jc w:val="left"/>
              <w:rPr>
                <w:sz w:val="22"/>
              </w:rPr>
            </w:pPr>
            <w:r>
              <w:t>There is clear and consistent evidence about the importance of vocabulary development. The OFSTED Inspection handbook research highlights a range of studies which suggests a vocabulary gap between children from disadvantaged families and their peers exists. Using the EEF’s Guidance Reports (Improving Literacy in KS1, Improving Literacy in KS2 and</w:t>
            </w:r>
            <w:proofErr w:type="gramStart"/>
            <w:r>
              <w:t>, ,</w:t>
            </w:r>
            <w:proofErr w:type="gramEnd"/>
            <w:r>
              <w:t xml:space="preserve"> Preparing for Literacy) we have prioritised responding to the barriers relating to vocabulary. Education Endowment Foundation – Oral language interventions +5 /6 months Overall, studies of oral language interventions consistently show positive impact on learning, including on oral language skills and reading comprehension. On average, pupils who participate in oral language interventions make approximately five months' </w:t>
            </w:r>
            <w:r>
              <w:lastRenderedPageBreak/>
              <w:t>additional progress over the course of a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33C7A29" w:rsidR="00E66558" w:rsidRDefault="0026095D">
            <w:pPr>
              <w:pStyle w:val="TableRowCentered"/>
              <w:jc w:val="left"/>
              <w:rPr>
                <w:sz w:val="22"/>
              </w:rPr>
            </w:pPr>
            <w:r>
              <w:rPr>
                <w:sz w:val="22"/>
              </w:rPr>
              <w:lastRenderedPageBreak/>
              <w:t>1, 2, 3, 4, 5 and 6</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BB815EE" w:rsidR="00E66558" w:rsidRPr="00E46AC6" w:rsidRDefault="009D71E8">
      <w:r>
        <w:t xml:space="preserve">Budgeted cost: £ </w:t>
      </w:r>
      <w:r w:rsidR="00E46AC6">
        <w:t>1</w:t>
      </w:r>
      <w:r w:rsidR="008A1EFD">
        <w:t>8</w:t>
      </w:r>
      <w:r w:rsidR="00E46AC6">
        <w:t>,</w:t>
      </w:r>
      <w:r w:rsidR="008A1EFD">
        <w:t>828</w:t>
      </w:r>
    </w:p>
    <w:tbl>
      <w:tblPr>
        <w:tblW w:w="5000" w:type="pct"/>
        <w:tblCellMar>
          <w:left w:w="10" w:type="dxa"/>
          <w:right w:w="10" w:type="dxa"/>
        </w:tblCellMar>
        <w:tblLook w:val="04A0" w:firstRow="1" w:lastRow="0" w:firstColumn="1" w:lastColumn="0" w:noHBand="0" w:noVBand="1"/>
      </w:tblPr>
      <w:tblGrid>
        <w:gridCol w:w="3066"/>
        <w:gridCol w:w="4002"/>
        <w:gridCol w:w="2418"/>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76A1C" w14:textId="77777777" w:rsidR="00931820" w:rsidRDefault="00931820">
            <w:pPr>
              <w:pStyle w:val="TableRow"/>
            </w:pPr>
            <w:r>
              <w:t xml:space="preserve">One to one tuition </w:t>
            </w:r>
          </w:p>
          <w:p w14:paraId="2A7D5529" w14:textId="2AAC3744" w:rsidR="00931820" w:rsidRDefault="00BA29B3">
            <w:pPr>
              <w:pStyle w:val="TableRow"/>
            </w:pPr>
            <w:r>
              <w:t>In phonics</w:t>
            </w:r>
            <w:r w:rsidR="00931820">
              <w:t xml:space="preserve"> - Precision teaching for phonics and high frequency words.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F9BB0" w14:textId="7ED1A432" w:rsidR="00E66558" w:rsidRPr="00BA29B3" w:rsidRDefault="00931820">
            <w:pPr>
              <w:pStyle w:val="TableRowCentered"/>
              <w:jc w:val="left"/>
              <w:rPr>
                <w:rFonts w:cs="Arial"/>
                <w:color w:val="auto"/>
                <w:szCs w:val="24"/>
              </w:rPr>
            </w:pPr>
            <w:r w:rsidRPr="00BA29B3">
              <w:rPr>
                <w:rFonts w:cs="Arial"/>
                <w:color w:val="auto"/>
                <w:szCs w:val="24"/>
              </w:rPr>
              <w:t xml:space="preserve">One to one tuition and small group work are outlined by the </w:t>
            </w:r>
            <w:proofErr w:type="spellStart"/>
            <w:r w:rsidRPr="00BA29B3">
              <w:rPr>
                <w:rFonts w:cs="Arial"/>
                <w:color w:val="auto"/>
                <w:szCs w:val="24"/>
              </w:rPr>
              <w:t>NfER</w:t>
            </w:r>
            <w:proofErr w:type="spellEnd"/>
            <w:r w:rsidRPr="00BA29B3">
              <w:rPr>
                <w:rFonts w:cs="Arial"/>
                <w:color w:val="auto"/>
                <w:szCs w:val="24"/>
              </w:rPr>
              <w:t xml:space="preserve">, Ofsted and the Sutton Trust as being effective strategies to use. We took note that no specific package, </w:t>
            </w:r>
            <w:proofErr w:type="gramStart"/>
            <w:r w:rsidRPr="00BA29B3">
              <w:rPr>
                <w:rFonts w:cs="Arial"/>
                <w:color w:val="auto"/>
                <w:szCs w:val="24"/>
              </w:rPr>
              <w:t>intervention</w:t>
            </w:r>
            <w:proofErr w:type="gramEnd"/>
            <w:r w:rsidRPr="00BA29B3">
              <w:rPr>
                <w:rFonts w:cs="Arial"/>
                <w:color w:val="auto"/>
                <w:szCs w:val="24"/>
              </w:rPr>
              <w:t xml:space="preserve"> or scheme was mentioned. Our ethos is to ensure our teaching is tailored to the children and so we will look at specific targeted interventions rather than any one product.</w:t>
            </w:r>
            <w:r w:rsidR="00BA29B3" w:rsidRPr="00BA29B3">
              <w:rPr>
                <w:rFonts w:cs="Arial"/>
                <w:color w:val="auto"/>
                <w:szCs w:val="24"/>
              </w:rPr>
              <w:t xml:space="preserve"> </w:t>
            </w:r>
          </w:p>
          <w:p w14:paraId="4B95112B" w14:textId="77777777" w:rsidR="00BA29B3" w:rsidRPr="00BA29B3" w:rsidRDefault="00BA29B3">
            <w:pPr>
              <w:pStyle w:val="TableRowCentered"/>
              <w:jc w:val="left"/>
              <w:rPr>
                <w:rFonts w:cs="Arial"/>
                <w:color w:val="auto"/>
                <w:szCs w:val="24"/>
              </w:rPr>
            </w:pPr>
          </w:p>
          <w:p w14:paraId="2A7D552A" w14:textId="5A63AF87" w:rsidR="00BA29B3" w:rsidRPr="00BA29B3" w:rsidRDefault="00BA29B3">
            <w:pPr>
              <w:pStyle w:val="TableRowCentered"/>
              <w:jc w:val="left"/>
              <w:rPr>
                <w:rFonts w:cs="Arial"/>
                <w:color w:val="auto"/>
                <w:szCs w:val="24"/>
              </w:rPr>
            </w:pPr>
            <w:r w:rsidRPr="00BA29B3">
              <w:rPr>
                <w:rFonts w:cs="Arial"/>
                <w:color w:val="auto"/>
                <w:szCs w:val="24"/>
              </w:rPr>
              <w:t>Education Endowment Foundation – One to one tuition. – +5months The EEF found one to one tuition to be high impact for moderate cost. Research finds that on average, one to one tuition is very effective at improving pupil outcomes. One to one tuition might be an effective strategy for providing targeted support for pupils that are identified as having low prior attainment or are struggling in particular areas.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EE0CF71" w:rsidR="00E66558" w:rsidRDefault="0026095D">
            <w:pPr>
              <w:pStyle w:val="TableRowCentered"/>
              <w:jc w:val="left"/>
              <w:rPr>
                <w:sz w:val="22"/>
              </w:rPr>
            </w:pPr>
            <w:r>
              <w:rPr>
                <w:sz w:val="22"/>
              </w:rPr>
              <w:t>1,2,3,</w:t>
            </w:r>
            <w:proofErr w:type="gramStart"/>
            <w:r>
              <w:rPr>
                <w:sz w:val="22"/>
              </w:rPr>
              <w:t>4</w:t>
            </w:r>
            <w:proofErr w:type="gramEnd"/>
            <w:r>
              <w:rPr>
                <w:sz w:val="22"/>
              </w:rPr>
              <w:t xml:space="preserve"> and 5</w:t>
            </w:r>
          </w:p>
        </w:tc>
      </w:tr>
      <w:tr w:rsidR="009C7522" w14:paraId="6FC7C20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61158" w14:textId="7CFDFDF8" w:rsidR="009C7522" w:rsidRDefault="009C7522">
            <w:pPr>
              <w:pStyle w:val="TableRow"/>
            </w:pPr>
            <w:r>
              <w:t>1 to 1 reading for our vulnerable/disadvantaged pupils to take place for 30 minutes daily with skilled adults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43455" w14:textId="5FC53C72" w:rsidR="009C7522" w:rsidRPr="00BA29B3" w:rsidRDefault="009C7522">
            <w:pPr>
              <w:pStyle w:val="TableRowCentered"/>
              <w:jc w:val="left"/>
              <w:rPr>
                <w:rFonts w:cs="Arial"/>
                <w:color w:val="auto"/>
                <w:szCs w:val="24"/>
              </w:rPr>
            </w:pPr>
            <w:r>
              <w:t>Education Endowment Foundation –One to one tuition. – +5months One to one tuition involves a teacher, teaching assistant or other adult giving a pupil intensive individual support.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89923" w14:textId="16F83CDE" w:rsidR="009C7522" w:rsidRDefault="009C7522">
            <w:pPr>
              <w:pStyle w:val="TableRowCentered"/>
              <w:jc w:val="left"/>
              <w:rPr>
                <w:sz w:val="22"/>
              </w:rPr>
            </w:pPr>
            <w:r>
              <w:rPr>
                <w:sz w:val="22"/>
              </w:rPr>
              <w:t>1,2,3,</w:t>
            </w:r>
            <w:proofErr w:type="gramStart"/>
            <w:r>
              <w:rPr>
                <w:sz w:val="22"/>
              </w:rPr>
              <w:t>4</w:t>
            </w:r>
            <w:proofErr w:type="gramEnd"/>
            <w:r>
              <w:rPr>
                <w:sz w:val="22"/>
              </w:rPr>
              <w:t xml:space="preserve"> and 5</w:t>
            </w:r>
          </w:p>
        </w:tc>
      </w:tr>
      <w:tr w:rsidR="00B4006C" w14:paraId="31BEBF3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29B9C" w14:textId="0C6D5317" w:rsidR="00B4006C" w:rsidRDefault="00B4006C">
            <w:pPr>
              <w:pStyle w:val="TableRow"/>
            </w:pPr>
            <w:r>
              <w:t xml:space="preserve">Staff meeting time used to prioritise continuing professional development with regular, sequential sessions, focussing on two key </w:t>
            </w:r>
            <w:proofErr w:type="gramStart"/>
            <w:r>
              <w:t>texts :</w:t>
            </w:r>
            <w:proofErr w:type="gramEnd"/>
            <w:r>
              <w:t xml:space="preserve"> Walkthroughs and </w:t>
            </w:r>
            <w:r>
              <w:lastRenderedPageBreak/>
              <w:t xml:space="preserve">Making Space for Able Learners. Books purchased for teachers and support staff. Fortnightly </w:t>
            </w:r>
            <w:proofErr w:type="gramStart"/>
            <w:r>
              <w:t>1 hour</w:t>
            </w:r>
            <w:proofErr w:type="gramEnd"/>
            <w:r>
              <w:t xml:space="preserve"> CPD for support staff focussing on their needs as well as a focus on improving and evaluating pupil outcomes.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88B3D" w14:textId="733D9F83" w:rsidR="00B4006C" w:rsidRPr="00BA29B3" w:rsidRDefault="00B4006C">
            <w:pPr>
              <w:pStyle w:val="TableRowCentered"/>
              <w:jc w:val="left"/>
              <w:rPr>
                <w:rFonts w:cs="Arial"/>
                <w:color w:val="auto"/>
                <w:szCs w:val="24"/>
              </w:rPr>
            </w:pPr>
            <w:r>
              <w:lastRenderedPageBreak/>
              <w:t xml:space="preserve">A key factor for attainment and progress is effective teaching, as highlighted by the Sutton Trust’s 2011 report, which revealed that the effects of high-quality teaching are especially significant for pupils from disadvantaged backgrounds. </w:t>
            </w:r>
            <w:r>
              <w:lastRenderedPageBreak/>
              <w:t>We based our approach to CPD on sources of evidence for effective delivery, including the Teacher Development Trust’s Developing Great Teaching and the Department for Education Standards for teachers’ professional development implementation guidance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25549" w14:textId="213EBC41" w:rsidR="00B4006C" w:rsidRDefault="00B4006C">
            <w:pPr>
              <w:pStyle w:val="TableRowCentered"/>
              <w:jc w:val="left"/>
              <w:rPr>
                <w:sz w:val="22"/>
              </w:rPr>
            </w:pPr>
            <w:r>
              <w:rPr>
                <w:sz w:val="22"/>
              </w:rPr>
              <w:lastRenderedPageBreak/>
              <w:t>1,2,3,4, 5 and 6</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9FF2B" w14:textId="5E20555E" w:rsidR="00E66558" w:rsidRDefault="0037499C">
            <w:pPr>
              <w:pStyle w:val="TableRow"/>
              <w:rPr>
                <w:iCs/>
                <w:sz w:val="22"/>
              </w:rPr>
            </w:pPr>
            <w:r>
              <w:rPr>
                <w:iCs/>
                <w:sz w:val="22"/>
              </w:rPr>
              <w:t xml:space="preserve">Purchase </w:t>
            </w:r>
            <w:r w:rsidR="00B4006C">
              <w:rPr>
                <w:iCs/>
                <w:sz w:val="22"/>
              </w:rPr>
              <w:t xml:space="preserve">Literacy </w:t>
            </w:r>
            <w:r>
              <w:rPr>
                <w:iCs/>
                <w:sz w:val="22"/>
              </w:rPr>
              <w:t>Gold and train staff on use.</w:t>
            </w:r>
          </w:p>
          <w:p w14:paraId="2A7D552D" w14:textId="02FA7ACE" w:rsidR="0037499C" w:rsidRPr="0037499C" w:rsidRDefault="0037499C">
            <w:pPr>
              <w:pStyle w:val="TableRow"/>
              <w:rPr>
                <w:iCs/>
                <w:sz w:val="22"/>
              </w:rPr>
            </w:pPr>
            <w:r>
              <w:rPr>
                <w:iCs/>
                <w:sz w:val="22"/>
              </w:rPr>
              <w:t>Interventions to help children with spelling, reading and eye tracking.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2CCC0" w14:textId="2E52BAFB" w:rsidR="00BA29B3" w:rsidRPr="00BA29B3" w:rsidRDefault="00BA29B3" w:rsidP="00BA29B3">
            <w:pPr>
              <w:pStyle w:val="lightblue"/>
              <w:spacing w:before="0" w:beforeAutospacing="0" w:after="0" w:afterAutospacing="0"/>
              <w:rPr>
                <w:rFonts w:ascii="Arial" w:hAnsi="Arial" w:cs="Arial"/>
              </w:rPr>
            </w:pPr>
            <w:r w:rsidRPr="00BA29B3">
              <w:rPr>
                <w:rFonts w:ascii="Arial" w:hAnsi="Arial" w:cs="Arial"/>
              </w:rPr>
              <w:t xml:space="preserve">Vernet, Marie &amp; Bellocchi, </w:t>
            </w:r>
            <w:r>
              <w:rPr>
                <w:rFonts w:ascii="Arial" w:hAnsi="Arial" w:cs="Arial"/>
              </w:rPr>
              <w:t xml:space="preserve">et al </w:t>
            </w:r>
            <w:r w:rsidRPr="00BA29B3">
              <w:rPr>
                <w:rFonts w:ascii="Arial" w:hAnsi="Arial" w:cs="Arial"/>
              </w:rPr>
              <w:t>(2021). Applied Neuropsychology Child</w:t>
            </w:r>
            <w:r>
              <w:rPr>
                <w:rFonts w:ascii="Arial" w:hAnsi="Arial" w:cs="Arial"/>
              </w:rPr>
              <w:t xml:space="preserve">: </w:t>
            </w:r>
            <w:r w:rsidRPr="00BA29B3">
              <w:rPr>
                <w:rFonts w:ascii="Arial" w:hAnsi="Arial" w:cs="Arial"/>
              </w:rPr>
              <w:t xml:space="preserve">Reading is essential for learning, from literature to physics, from paper to screens on e-readers and smart phones. Even if it is well known that learning to read implies good language skills, children also need to develop good oculomotor and visual-perception skills. The present study aimed at assessing the usefulness of visual processing related measures in the early detection of reading difficulties. Results showed that (1) 31% of our sample of </w:t>
            </w:r>
            <w:r w:rsidR="00C10280" w:rsidRPr="00BA29B3">
              <w:rPr>
                <w:rFonts w:ascii="Arial" w:hAnsi="Arial" w:cs="Arial"/>
              </w:rPr>
              <w:t>pre-schoolers</w:t>
            </w:r>
            <w:r w:rsidRPr="00BA29B3">
              <w:rPr>
                <w:rFonts w:ascii="Arial" w:hAnsi="Arial" w:cs="Arial"/>
              </w:rPr>
              <w:t xml:space="preserve"> showed visual processing impairments (without any clinical complaints) and (2) reading accuracy and speed in first graders were significantly correlated with visual skills assessed in kindergarten, thus confirming the significant role of oculomotor and visual-perception processes in the acquisition of reading skills. These suggests the potential for these measures to be used clinically for identifying children at risk for low academic achievement, enabling appropriate targeting of early interventions.</w:t>
            </w:r>
          </w:p>
          <w:p w14:paraId="2A7D552E" w14:textId="730243DC" w:rsidR="00E66558" w:rsidRPr="00BA29B3" w:rsidRDefault="00E66558" w:rsidP="00BA29B3">
            <w:pPr>
              <w:pStyle w:val="TableRowCentered"/>
              <w:spacing w:before="0" w:after="0"/>
              <w:jc w:val="left"/>
              <w:rPr>
                <w:rFonts w:cs="Arial"/>
                <w:color w:val="auto"/>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D8AED0E" w:rsidR="00E66558" w:rsidRDefault="0026095D">
            <w:pPr>
              <w:pStyle w:val="TableRowCentered"/>
              <w:jc w:val="left"/>
              <w:rPr>
                <w:sz w:val="22"/>
              </w:rPr>
            </w:pPr>
            <w:r>
              <w:rPr>
                <w:sz w:val="22"/>
              </w:rPr>
              <w:t>1, 2, 3, 4, 5 and 6</w:t>
            </w:r>
          </w:p>
        </w:tc>
      </w:tr>
      <w:tr w:rsidR="00BA29B3" w14:paraId="14EFA28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F5808" w14:textId="36CDF3A5" w:rsidR="00BA29B3" w:rsidRPr="00BA29B3" w:rsidRDefault="00BA29B3">
            <w:pPr>
              <w:pStyle w:val="TableRow"/>
              <w:rPr>
                <w:b/>
                <w:bCs/>
                <w:iCs/>
                <w:sz w:val="22"/>
                <w:u w:val="single"/>
              </w:rPr>
            </w:pPr>
            <w:r w:rsidRPr="00BA29B3">
              <w:rPr>
                <w:b/>
                <w:bCs/>
                <w:iCs/>
                <w:sz w:val="22"/>
                <w:u w:val="single"/>
              </w:rPr>
              <w:t>Intervention</w:t>
            </w:r>
          </w:p>
          <w:p w14:paraId="1608D7C9" w14:textId="2F3341D5" w:rsidR="00BA29B3" w:rsidRDefault="00BA29B3">
            <w:pPr>
              <w:pStyle w:val="TableRow"/>
              <w:rPr>
                <w:iCs/>
                <w:sz w:val="22"/>
              </w:rPr>
            </w:pPr>
            <w:r>
              <w:rPr>
                <w:iCs/>
                <w:sz w:val="22"/>
              </w:rPr>
              <w:t>SALT intervention with EYFS and KS1 in small groups up to 1: 4 with trained nursery nurse.</w:t>
            </w:r>
          </w:p>
          <w:p w14:paraId="5C71484B" w14:textId="00EF3CC4" w:rsidR="00BA29B3" w:rsidRDefault="00BA29B3">
            <w:pPr>
              <w:pStyle w:val="TableRow"/>
              <w:rPr>
                <w:iCs/>
                <w:sz w:val="22"/>
              </w:rPr>
            </w:pPr>
          </w:p>
          <w:p w14:paraId="74FAE4AC" w14:textId="14A66D1F" w:rsidR="00BA29B3" w:rsidRDefault="00BA29B3">
            <w:pPr>
              <w:pStyle w:val="TableRow"/>
              <w:rPr>
                <w:iCs/>
                <w:sz w:val="22"/>
              </w:rPr>
            </w:pPr>
          </w:p>
          <w:p w14:paraId="4FB50777" w14:textId="6EEC4BD3" w:rsidR="00BA29B3" w:rsidRDefault="00BA29B3">
            <w:pPr>
              <w:pStyle w:val="TableRow"/>
              <w:rPr>
                <w:iCs/>
                <w:sz w:val="22"/>
              </w:rPr>
            </w:pPr>
          </w:p>
          <w:p w14:paraId="7A25D78F" w14:textId="0567D5AD" w:rsidR="00BA29B3" w:rsidRPr="00FB75CF" w:rsidRDefault="00BA29B3">
            <w:pPr>
              <w:pStyle w:val="TableRow"/>
              <w:rPr>
                <w:iCs/>
              </w:rPr>
            </w:pPr>
          </w:p>
          <w:p w14:paraId="7B7CF568" w14:textId="77777777" w:rsidR="00FB75CF" w:rsidRPr="00FB75CF" w:rsidRDefault="00FB75CF">
            <w:pPr>
              <w:pStyle w:val="TableRow"/>
              <w:rPr>
                <w:iCs/>
              </w:rPr>
            </w:pPr>
          </w:p>
          <w:p w14:paraId="6E358DED" w14:textId="2BD1076B" w:rsidR="00BA29B3" w:rsidRPr="00FB75CF" w:rsidRDefault="00BA29B3">
            <w:pPr>
              <w:pStyle w:val="TableRow"/>
              <w:rPr>
                <w:iCs/>
              </w:rPr>
            </w:pPr>
            <w:r w:rsidRPr="00FB75CF">
              <w:rPr>
                <w:iCs/>
              </w:rPr>
              <w:t>First Class at number in small groups 1:4 with trained TA.</w:t>
            </w:r>
          </w:p>
          <w:p w14:paraId="0D1653F0" w14:textId="2C9EDD47" w:rsidR="00BA29B3" w:rsidRPr="00FB75CF" w:rsidRDefault="00BA29B3">
            <w:pPr>
              <w:pStyle w:val="TableRow"/>
              <w:rPr>
                <w:iCs/>
              </w:rPr>
            </w:pPr>
          </w:p>
          <w:p w14:paraId="659BC462" w14:textId="3E792080" w:rsidR="00BA29B3" w:rsidRDefault="00FB75CF">
            <w:pPr>
              <w:pStyle w:val="TableRow"/>
            </w:pPr>
            <w:proofErr w:type="spellStart"/>
            <w:r>
              <w:t>Numbots</w:t>
            </w:r>
            <w:proofErr w:type="spellEnd"/>
            <w:r>
              <w:t>/TTRS - (Targeted Maths Support which includes our disadvantaged pupils): daily before school (</w:t>
            </w:r>
            <w:r w:rsidR="0026095D">
              <w:t>15</w:t>
            </w:r>
            <w:r>
              <w:t xml:space="preserve"> mins per</w:t>
            </w:r>
            <w:r w:rsidR="0026095D">
              <w:t xml:space="preserve"> </w:t>
            </w:r>
            <w:r>
              <w:t>pupil).</w:t>
            </w:r>
          </w:p>
          <w:p w14:paraId="183E22A8" w14:textId="22C44DFE" w:rsidR="00FB75CF" w:rsidRDefault="00FB75CF">
            <w:pPr>
              <w:pStyle w:val="TableRow"/>
              <w:rPr>
                <w:iCs/>
              </w:rPr>
            </w:pPr>
          </w:p>
          <w:p w14:paraId="5FF0BD46" w14:textId="21F23DA9" w:rsidR="00FB75CF" w:rsidRDefault="00FB75CF">
            <w:pPr>
              <w:pStyle w:val="TableRow"/>
              <w:rPr>
                <w:iCs/>
                <w:sz w:val="22"/>
              </w:rPr>
            </w:pPr>
            <w:r>
              <w:t xml:space="preserve">To establish structured small group interventions, to support pupils who have fallen behind furthest to make accelerated progress towards their individual </w:t>
            </w:r>
            <w:proofErr w:type="gramStart"/>
            <w:r>
              <w:t>targets</w:t>
            </w:r>
            <w:proofErr w:type="gramEnd"/>
          </w:p>
          <w:p w14:paraId="6F1C96B1" w14:textId="77777777" w:rsidR="00BA29B3" w:rsidRDefault="00BA29B3">
            <w:pPr>
              <w:pStyle w:val="TableRow"/>
              <w:rPr>
                <w:iCs/>
                <w:sz w:val="22"/>
              </w:rPr>
            </w:pPr>
          </w:p>
          <w:p w14:paraId="336AF9BD" w14:textId="1792A04E" w:rsidR="00BA29B3" w:rsidRDefault="00BA29B3">
            <w:pPr>
              <w:pStyle w:val="TableRow"/>
              <w:rPr>
                <w:iCs/>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27970" w14:textId="718E0F30" w:rsidR="00BA29B3" w:rsidRDefault="00BA29B3">
            <w:pPr>
              <w:pStyle w:val="TableRowCentered"/>
              <w:jc w:val="left"/>
              <w:rPr>
                <w:szCs w:val="24"/>
              </w:rPr>
            </w:pPr>
            <w:r>
              <w:lastRenderedPageBreak/>
              <w:t xml:space="preserve">Education Endowment Foundation – Oral Language Interventions - + 5/6 months All pupils appear to benefit from oral language interventions, but some studies show slightly larger effects for younger children and pupils from disadvantaged backgrounds (up </w:t>
            </w:r>
            <w:r>
              <w:lastRenderedPageBreak/>
              <w:t xml:space="preserve">to six months' </w:t>
            </w:r>
            <w:r w:rsidRPr="00FB75CF">
              <w:rPr>
                <w:szCs w:val="24"/>
              </w:rPr>
              <w:t>additional progress).</w:t>
            </w:r>
          </w:p>
          <w:p w14:paraId="71E9A77C" w14:textId="77777777" w:rsidR="0026095D" w:rsidRPr="00FB75CF" w:rsidRDefault="0026095D">
            <w:pPr>
              <w:pStyle w:val="TableRowCentered"/>
              <w:jc w:val="left"/>
              <w:rPr>
                <w:szCs w:val="24"/>
              </w:rPr>
            </w:pPr>
          </w:p>
          <w:p w14:paraId="1E5054A7" w14:textId="5AC41ADC" w:rsidR="00FB75CF" w:rsidRPr="00FB75CF" w:rsidRDefault="0026095D">
            <w:pPr>
              <w:pStyle w:val="TableRowCentered"/>
              <w:jc w:val="left"/>
              <w:rPr>
                <w:szCs w:val="24"/>
              </w:rPr>
            </w:pPr>
            <w:r>
              <w:t xml:space="preserve">Education Endowment Foundation – Small group tuition– +3months Taken from the EEF summary of recommendations (Improving Literacy in Key Stage 1). ‘Use one-to-one and </w:t>
            </w:r>
            <w:proofErr w:type="gramStart"/>
            <w:r>
              <w:t>small-group</w:t>
            </w:r>
            <w:proofErr w:type="gramEnd"/>
            <w:r>
              <w:t xml:space="preserve"> tutoring ideally involving structured interventions. There is consistent evidence the approach supports children struggling with aspects of literacy.</w:t>
            </w:r>
          </w:p>
          <w:p w14:paraId="5A0B5102" w14:textId="77777777" w:rsidR="00FB75CF" w:rsidRPr="00FB75CF" w:rsidRDefault="00FB75CF">
            <w:pPr>
              <w:pStyle w:val="TableRowCentered"/>
              <w:jc w:val="left"/>
              <w:rPr>
                <w:szCs w:val="24"/>
              </w:rPr>
            </w:pPr>
          </w:p>
          <w:p w14:paraId="29FBA6E5" w14:textId="1EC24B1C" w:rsidR="00FB75CF" w:rsidRDefault="00FB75CF" w:rsidP="00FB75CF">
            <w:pPr>
              <w:pStyle w:val="TableRowCentered"/>
              <w:ind w:left="0"/>
              <w:jc w:val="left"/>
              <w:rPr>
                <w:sz w:val="22"/>
              </w:rPr>
            </w:pPr>
            <w:r w:rsidRPr="00FB75CF">
              <w:rPr>
                <w:szCs w:val="24"/>
              </w:rPr>
              <w:t>Kinaesthetic place value intervention</w:t>
            </w:r>
            <w:r w:rsidR="0026095D">
              <w:rPr>
                <w:szCs w:val="24"/>
              </w:rPr>
              <w:t xml:space="preserve"> that we know is highly effective in improving mathematical fluency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E73DC" w14:textId="4421E336" w:rsidR="00BA29B3" w:rsidRDefault="0026095D">
            <w:pPr>
              <w:pStyle w:val="TableRowCentered"/>
              <w:jc w:val="left"/>
              <w:rPr>
                <w:sz w:val="22"/>
              </w:rPr>
            </w:pPr>
            <w:r>
              <w:rPr>
                <w:sz w:val="22"/>
              </w:rPr>
              <w:lastRenderedPageBreak/>
              <w:t>2, 3, 4, 5 and 6</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2E9FCE9" w:rsidR="00E66558" w:rsidRPr="00E46AC6" w:rsidRDefault="009D71E8">
      <w:pPr>
        <w:spacing w:before="240" w:after="120"/>
      </w:pPr>
      <w:r>
        <w:t xml:space="preserve">Budgeted cost: £ </w:t>
      </w:r>
      <w:r w:rsidR="008A1EFD">
        <w:t>7,320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A5B4E47" w:rsidR="00E66558" w:rsidRPr="00FB75CF" w:rsidRDefault="00FC07E6" w:rsidP="00FC07E6">
            <w:pPr>
              <w:pStyle w:val="TableRow"/>
              <w:ind w:left="0"/>
            </w:pPr>
            <w:r w:rsidRPr="00FB75CF">
              <w:t>Uniform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2E5037FA" w:rsidR="00E66558" w:rsidRPr="00FB75CF" w:rsidRDefault="00FB75CF">
            <w:pPr>
              <w:pStyle w:val="TableRowCentered"/>
              <w:jc w:val="left"/>
              <w:rPr>
                <w:szCs w:val="24"/>
              </w:rPr>
            </w:pPr>
            <w:r w:rsidRPr="00FB75CF">
              <w:rPr>
                <w:szCs w:val="24"/>
              </w:rPr>
              <w:t>EEF Teacher Toolkit reports that whilst wearing a uniform is not, on its own, likely to improve learning, it can be successfully incorporated into a broader school improvement process which includes the development of a school ethos and the improvement of behaviour and discipline.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B80D04B" w:rsidR="00E66558" w:rsidRPr="00FB75CF" w:rsidRDefault="0026095D">
            <w:pPr>
              <w:pStyle w:val="TableRowCentered"/>
              <w:jc w:val="left"/>
              <w:rPr>
                <w:szCs w:val="24"/>
              </w:rPr>
            </w:pPr>
            <w:r>
              <w:rPr>
                <w:szCs w:val="24"/>
              </w:rPr>
              <w:t>1</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56A0640" w:rsidR="00E66558" w:rsidRPr="00FB75CF" w:rsidRDefault="00FC07E6" w:rsidP="00FC07E6">
            <w:pPr>
              <w:pStyle w:val="TableRow"/>
              <w:ind w:left="0"/>
              <w:rPr>
                <w:iCs/>
              </w:rPr>
            </w:pPr>
            <w:r w:rsidRPr="00FB75CF">
              <w:rPr>
                <w:iCs/>
              </w:rPr>
              <w:t>Trips/residentials</w:t>
            </w:r>
            <w:r w:rsidR="00FB75CF" w:rsidRPr="00FB75CF">
              <w:rPr>
                <w:iCs/>
              </w:rPr>
              <w:t xml:space="preserve"> </w:t>
            </w:r>
            <w:r w:rsidR="00FB75CF" w:rsidRPr="00FB75CF">
              <w:t>Provide increased opportunities for PP pupils’ experiential learning by subsidising educational trips, visits and residentials.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777777" w:rsidR="00E66558" w:rsidRPr="00FB75CF" w:rsidRDefault="00E66558">
            <w:pPr>
              <w:pStyle w:val="TableRowCentered"/>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7C3B3F8" w:rsidR="00E66558" w:rsidRPr="00FB75CF" w:rsidRDefault="0026095D">
            <w:pPr>
              <w:pStyle w:val="TableRowCentered"/>
              <w:jc w:val="left"/>
              <w:rPr>
                <w:szCs w:val="24"/>
              </w:rPr>
            </w:pPr>
            <w:r>
              <w:rPr>
                <w:szCs w:val="24"/>
              </w:rPr>
              <w:t>1</w:t>
            </w:r>
          </w:p>
        </w:tc>
      </w:tr>
      <w:tr w:rsidR="00FC07E6" w14:paraId="100B7F6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FDFB9" w14:textId="0E6E89CE" w:rsidR="000A18E8" w:rsidRPr="00FB75CF" w:rsidRDefault="000A18E8" w:rsidP="00FC07E6">
            <w:pPr>
              <w:pStyle w:val="TableRow"/>
              <w:ind w:left="0"/>
              <w:rPr>
                <w:iCs/>
              </w:rPr>
            </w:pPr>
            <w:r w:rsidRPr="00FB75CF">
              <w:rPr>
                <w:iCs/>
              </w:rPr>
              <w:lastRenderedPageBreak/>
              <w:t>Staff training and staff release to support children who are struggling with SEMH needs.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C82D1" w14:textId="77777777" w:rsidR="00FC07E6" w:rsidRPr="00FB75CF" w:rsidRDefault="000A18E8">
            <w:pPr>
              <w:pStyle w:val="TableRowCentered"/>
              <w:jc w:val="left"/>
              <w:rPr>
                <w:szCs w:val="24"/>
              </w:rPr>
            </w:pPr>
            <w:r w:rsidRPr="00FB75CF">
              <w:rPr>
                <w:szCs w:val="24"/>
              </w:rPr>
              <w:t>EEF supports the use of behaviour support programmes. (+4 months)</w:t>
            </w:r>
          </w:p>
          <w:p w14:paraId="24567468" w14:textId="0C45DA3C" w:rsidR="000A18E8" w:rsidRPr="00FB75CF" w:rsidRDefault="000A18E8">
            <w:pPr>
              <w:pStyle w:val="TableRowCentered"/>
              <w:jc w:val="left"/>
              <w:rPr>
                <w:szCs w:val="24"/>
              </w:rPr>
            </w:pPr>
            <w:r w:rsidRPr="00FB75CF">
              <w:rPr>
                <w:rFonts w:ascii="Helvetica" w:hAnsi="Helvetica" w:cs="Helvetica"/>
                <w:color w:val="263238"/>
                <w:szCs w:val="24"/>
                <w:shd w:val="clear" w:color="auto" w:fill="FFFFFF"/>
              </w:rPr>
              <w:t>‘Behaviour interventions seek to improve attainment by reducing challenging behaviour in school. This entry covers interventions aimed at reducing a variety of behaviours, from low-level disruption to aggression, violence, bullying, substance abuse and general anti-social activities.’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C761A" w14:textId="045FB052" w:rsidR="00FC07E6" w:rsidRPr="00FB75CF" w:rsidRDefault="00E56292">
            <w:pPr>
              <w:pStyle w:val="TableRowCentered"/>
              <w:jc w:val="left"/>
              <w:rPr>
                <w:szCs w:val="24"/>
              </w:rPr>
            </w:pPr>
            <w:r w:rsidRPr="00FB75CF">
              <w:rPr>
                <w:szCs w:val="24"/>
              </w:rPr>
              <w:t>1,3 and 6</w:t>
            </w:r>
          </w:p>
        </w:tc>
      </w:tr>
      <w:tr w:rsidR="00655E09" w14:paraId="40B8DBC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86264" w14:textId="1F6BB498" w:rsidR="00655E09" w:rsidRPr="00FB75CF" w:rsidRDefault="00655E09" w:rsidP="00655E09">
            <w:pPr>
              <w:pStyle w:val="TableRow"/>
              <w:ind w:left="0"/>
              <w:rPr>
                <w:iCs/>
              </w:rPr>
            </w:pPr>
            <w:r>
              <w:t xml:space="preserve">Lunchtime Nurture Group: Have lunch with Pastoral Lead, a space away from the lunch hall. Able to talk, play games, tell </w:t>
            </w:r>
            <w:proofErr w:type="gramStart"/>
            <w:r>
              <w:t>stories</w:t>
            </w:r>
            <w:proofErr w:type="gramEnd"/>
            <w:r>
              <w:t xml:space="preserve"> and talk about things that may worry them.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381D9" w14:textId="528013E4" w:rsidR="00655E09" w:rsidRPr="00FB75CF" w:rsidRDefault="00655E09">
            <w:pPr>
              <w:pStyle w:val="TableRowCentered"/>
              <w:jc w:val="left"/>
              <w:rPr>
                <w:szCs w:val="24"/>
              </w:rPr>
            </w:pPr>
            <w:r>
              <w:t xml:space="preserve">Public Health England: summary of key messages relating to mental health, </w:t>
            </w:r>
            <w:proofErr w:type="gramStart"/>
            <w:r>
              <w:t>wellbeing</w:t>
            </w:r>
            <w:proofErr w:type="gramEnd"/>
            <w:r>
              <w:t xml:space="preserve"> and attainment. Nov 2014 </w:t>
            </w:r>
            <w:proofErr w:type="gramStart"/>
            <w:r>
              <w:t>1.Pupils</w:t>
            </w:r>
            <w:proofErr w:type="gramEnd"/>
            <w:r>
              <w:t xml:space="preserve"> with better health and wellbeing are likely to achieve better academically. 2. Effective social and emotional competencies are associated with greater health and wellbeing, and better achievement. 3. The culture, ethos and environment of a school influences the health and wellbeing of pupils and their readiness to learn. 4. A positive association exists between academic attainment and physical activity levels of pupils. EEF research: implementation costs are low, evidence impact is + 4 months progress. +6 months if focused on social interactions. Builds confidence. Develops life skills. Taking turns, </w:t>
            </w:r>
            <w:proofErr w:type="spellStart"/>
            <w:r>
              <w:t>self care</w:t>
            </w:r>
            <w:proofErr w:type="spellEnd"/>
            <w:r>
              <w:t xml:space="preserve">, helping other, </w:t>
            </w:r>
            <w:proofErr w:type="gramStart"/>
            <w:r>
              <w:t>listening</w:t>
            </w:r>
            <w:proofErr w:type="gramEnd"/>
            <w:r>
              <w:t xml:space="preserve"> and sharing worries and how they might be dealt with, resilience and independence.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954D8" w14:textId="78908665" w:rsidR="00655E09" w:rsidRPr="00FB75CF" w:rsidRDefault="0026095D">
            <w:pPr>
              <w:pStyle w:val="TableRowCentered"/>
              <w:jc w:val="left"/>
              <w:rPr>
                <w:szCs w:val="24"/>
              </w:rPr>
            </w:pPr>
            <w:r>
              <w:rPr>
                <w:szCs w:val="24"/>
              </w:rPr>
              <w:t>1 and 3</w:t>
            </w:r>
          </w:p>
        </w:tc>
      </w:tr>
      <w:tr w:rsidR="00655E09" w14:paraId="48653E5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70C84" w14:textId="13B24313" w:rsidR="00655E09" w:rsidRDefault="00655E09" w:rsidP="00655E09">
            <w:pPr>
              <w:pStyle w:val="TableRow"/>
              <w:ind w:left="0"/>
            </w:pPr>
            <w:r>
              <w:t>Support of an educational psychologist.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24AF4" w14:textId="77777777" w:rsidR="00655E09" w:rsidRDefault="00655E09">
            <w:pPr>
              <w:pStyle w:val="TableRowCentered"/>
              <w:jc w:val="left"/>
            </w:pPr>
            <w:r>
              <w:t xml:space="preserve">Psychologists working in the field of education study how people learn and retain knowledge. They apply psychological science to improve the learning process and promote educational success for all students. </w:t>
            </w:r>
          </w:p>
          <w:p w14:paraId="48D5E7CB" w14:textId="77777777" w:rsidR="00655E09" w:rsidRDefault="00655E09">
            <w:pPr>
              <w:pStyle w:val="TableRowCentered"/>
              <w:jc w:val="left"/>
            </w:pPr>
          </w:p>
          <w:p w14:paraId="5A0FA23E" w14:textId="77777777" w:rsidR="00655E09" w:rsidRDefault="00655E09">
            <w:pPr>
              <w:pStyle w:val="TableRowCentered"/>
              <w:jc w:val="left"/>
            </w:pPr>
            <w:r>
              <w:t xml:space="preserve">Referrals enable full assessment of need to support EHCP applications. </w:t>
            </w:r>
          </w:p>
          <w:p w14:paraId="5A94A500" w14:textId="77777777" w:rsidR="00655E09" w:rsidRDefault="00655E09">
            <w:pPr>
              <w:pStyle w:val="TableRowCentered"/>
              <w:jc w:val="left"/>
            </w:pPr>
          </w:p>
          <w:p w14:paraId="02F7DB7B" w14:textId="24CFFFCA" w:rsidR="00655E09" w:rsidRDefault="00655E09">
            <w:pPr>
              <w:pStyle w:val="TableRowCentered"/>
              <w:jc w:val="left"/>
            </w:pPr>
            <w:r>
              <w:t>Referrals are also made via this route to the SCIL team for full assessment of need for learning and cognition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BA1A5" w14:textId="1F94AA93" w:rsidR="00655E09" w:rsidRPr="00FB75CF" w:rsidRDefault="0026095D">
            <w:pPr>
              <w:pStyle w:val="TableRowCentered"/>
              <w:jc w:val="left"/>
              <w:rPr>
                <w:szCs w:val="24"/>
              </w:rPr>
            </w:pPr>
            <w:r>
              <w:rPr>
                <w:szCs w:val="24"/>
              </w:rPr>
              <w:t>1,2,3,5,6</w:t>
            </w:r>
          </w:p>
        </w:tc>
      </w:tr>
      <w:tr w:rsidR="00655E09" w14:paraId="3D22E3A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AA164" w14:textId="284705AB" w:rsidR="00B4006C" w:rsidRDefault="009C7522" w:rsidP="00655E09">
            <w:pPr>
              <w:pStyle w:val="TableRow"/>
            </w:pPr>
            <w:r>
              <w:lastRenderedPageBreak/>
              <w:t xml:space="preserve">Stay and Play sessions Further develop Stay and Play sessions for parents of pupils in EYFS to Y6 - targeting </w:t>
            </w:r>
            <w:proofErr w:type="gramStart"/>
            <w:r>
              <w:t>disadvantaged</w:t>
            </w:r>
            <w:proofErr w:type="gramEnd"/>
          </w:p>
          <w:p w14:paraId="69342156" w14:textId="1DB8498F" w:rsidR="00B4006C" w:rsidRDefault="00B4006C" w:rsidP="00655E09">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FC6E6" w14:textId="07AC68FD" w:rsidR="00655E09" w:rsidRDefault="009C7522">
            <w:pPr>
              <w:pStyle w:val="TableRowCentered"/>
              <w:jc w:val="left"/>
            </w:pPr>
            <w:r>
              <w:t>Education Endowment Foundation – Parental Engagement - +3months Parents’ aspirations also appear to be important for pupil outcomes, although there is limited evidence to show that intervening to change parents’ aspirations will raise their children’s aspirations and achievement over the longer term.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E132F" w14:textId="1977E0BA" w:rsidR="00655E09" w:rsidRPr="00FB75CF" w:rsidRDefault="00655E09">
            <w:pPr>
              <w:pStyle w:val="TableRowCentered"/>
              <w:jc w:val="left"/>
              <w:rPr>
                <w:szCs w:val="24"/>
              </w:rPr>
            </w:pPr>
          </w:p>
        </w:tc>
      </w:tr>
      <w:tr w:rsidR="00C10280" w14:paraId="00EEADF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64379" w14:textId="2702F504" w:rsidR="00C10280" w:rsidRDefault="00C10280" w:rsidP="00655E09">
            <w:pPr>
              <w:pStyle w:val="TableRow"/>
            </w:pPr>
            <w:r>
              <w:t>Improve and offer a variety of after school / holiday clubs beyond those of a sporting nature and provide funded places to our most vulnerable and disadvantaged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72EC2" w14:textId="0721B7F9" w:rsidR="00C10280" w:rsidRDefault="00C10280">
            <w:pPr>
              <w:pStyle w:val="TableRowCentered"/>
              <w:jc w:val="left"/>
            </w:pPr>
            <w:r>
              <w:t xml:space="preserve">Studies funded by the Nuffield Foundation, found taking part in activities outside the formal school day can play a role in closing the attainment gap between children from </w:t>
            </w:r>
            <w:proofErr w:type="gramStart"/>
            <w:r>
              <w:t>economically disadvantaged</w:t>
            </w:r>
            <w:proofErr w:type="gramEnd"/>
            <w:r>
              <w:t xml:space="preserve"> backgrounds and those with more family resources. Research suggests after-school clubs and sports can improve the academic performance and social skills of disadvantaged primary school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9A2FE" w14:textId="56A0F4D3" w:rsidR="00C10280" w:rsidRDefault="00C10280">
            <w:pPr>
              <w:pStyle w:val="TableRowCentered"/>
              <w:jc w:val="left"/>
              <w:rPr>
                <w:szCs w:val="24"/>
              </w:rPr>
            </w:pPr>
            <w:r>
              <w:rPr>
                <w:szCs w:val="24"/>
              </w:rPr>
              <w:t>1,3</w:t>
            </w:r>
          </w:p>
        </w:tc>
      </w:tr>
      <w:tr w:rsidR="009C7522" w14:paraId="78977AC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02547" w14:textId="663CE6F7" w:rsidR="009C7522" w:rsidRDefault="009C7522" w:rsidP="00655E09">
            <w:pPr>
              <w:pStyle w:val="TableRow"/>
            </w:pPr>
            <w:r>
              <w:t>Continue to reward and celebrate with parents and children - attendance Rewards to include Most Improved, punctuality awards which will be targeted mainly at disadvantaged families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2DF0C" w14:textId="7F778078" w:rsidR="009C7522" w:rsidRDefault="009C7522">
            <w:pPr>
              <w:pStyle w:val="TableRowCentered"/>
              <w:jc w:val="left"/>
            </w:pPr>
            <w:r>
              <w:t>The Department for Education (DfE) published research in 2016 which found that: The higher the overall absence rate across Key Stage (KS) 2 and KS4, the lower the likely level of attainment at the end of KS2 and KS4 Pupils with no absence are 1.3 times more likely to achieve level 4 or above, and 3.1 times more likely to achieve level 5 or above, than pupils that missed 10-15% of all sessions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3A96C" w14:textId="0E59017E" w:rsidR="009C7522" w:rsidRDefault="009C7522">
            <w:pPr>
              <w:pStyle w:val="TableRowCentered"/>
              <w:jc w:val="left"/>
              <w:rPr>
                <w:szCs w:val="24"/>
              </w:rPr>
            </w:pPr>
            <w:r>
              <w:rPr>
                <w:szCs w:val="24"/>
              </w:rPr>
              <w:t>1, 3</w:t>
            </w:r>
          </w:p>
        </w:tc>
      </w:tr>
    </w:tbl>
    <w:p w14:paraId="2A7D5540" w14:textId="670028AF" w:rsidR="00E66558" w:rsidRDefault="00E66558">
      <w:pPr>
        <w:spacing w:before="240" w:after="0"/>
        <w:rPr>
          <w:b/>
          <w:bCs/>
          <w:color w:val="104F75"/>
          <w:sz w:val="28"/>
          <w:szCs w:val="28"/>
        </w:rPr>
      </w:pPr>
    </w:p>
    <w:p w14:paraId="2A7D5541" w14:textId="54A0249F" w:rsidR="00E66558" w:rsidRPr="00E46AC6" w:rsidRDefault="009D71E8" w:rsidP="00120AB1">
      <w:r>
        <w:rPr>
          <w:b/>
          <w:bCs/>
          <w:color w:val="104F75"/>
          <w:sz w:val="28"/>
          <w:szCs w:val="28"/>
        </w:rPr>
        <w:t xml:space="preserve">Total budgeted cost: £ </w:t>
      </w:r>
      <w:r w:rsidR="00E46AC6">
        <w:rPr>
          <w:color w:val="104F75"/>
          <w:sz w:val="28"/>
          <w:szCs w:val="28"/>
        </w:rPr>
        <w:t>3</w:t>
      </w:r>
      <w:r w:rsidR="008A1EFD">
        <w:rPr>
          <w:color w:val="104F75"/>
          <w:sz w:val="28"/>
          <w:szCs w:val="28"/>
        </w:rPr>
        <w:t>0</w:t>
      </w:r>
      <w:r w:rsidR="00E46AC6">
        <w:rPr>
          <w:color w:val="104F75"/>
          <w:sz w:val="28"/>
          <w:szCs w:val="28"/>
        </w:rPr>
        <w:t>,</w:t>
      </w:r>
      <w:r w:rsidR="008A1EFD">
        <w:rPr>
          <w:color w:val="104F75"/>
          <w:sz w:val="28"/>
          <w:szCs w:val="28"/>
        </w:rPr>
        <w:t>657</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65768352" w:rsidR="00E66558" w:rsidRDefault="009D71E8">
      <w:r>
        <w:t>This details the impact that our pupil premium activity had on pupils in the 202</w:t>
      </w:r>
      <w:r w:rsidR="00243205">
        <w:t>2</w:t>
      </w:r>
      <w:r>
        <w:t xml:space="preserve"> to 202</w:t>
      </w:r>
      <w:r w:rsidR="00243205">
        <w:t>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5EDB0" w14:textId="77777777" w:rsidR="009C7522" w:rsidRDefault="009C7522"/>
          <w:p w14:paraId="752102E1" w14:textId="4D65A2B6" w:rsidR="00243205" w:rsidRDefault="00243205">
            <w:r>
              <w:t>2022- 2023 Data</w:t>
            </w:r>
          </w:p>
          <w:p w14:paraId="41C8AE5E" w14:textId="36B12D1E" w:rsidR="00534E11" w:rsidRDefault="00534E11">
            <w:r>
              <w:t xml:space="preserve">At Harden Primary, by the time our Pupil Premium children complete Phonics screen check, Year 2 SATs and Year 6 SATs, they are outperforming all children nationally in Reading, Maths and Writing including </w:t>
            </w:r>
            <w:proofErr w:type="gramStart"/>
            <w:r>
              <w:t>GPS</w:t>
            </w:r>
            <w:r w:rsidRPr="00534E11">
              <w:rPr>
                <w:sz w:val="20"/>
                <w:szCs w:val="20"/>
              </w:rPr>
              <w:t>(</w:t>
            </w:r>
            <w:proofErr w:type="gramEnd"/>
            <w:r w:rsidRPr="00534E11">
              <w:rPr>
                <w:sz w:val="20"/>
                <w:szCs w:val="20"/>
              </w:rPr>
              <w:t xml:space="preserve">*with the exception of those who have SEND and are PP). </w:t>
            </w:r>
            <w:r>
              <w:t>Although, there remains a difference between our disadvantaged children and all children nationally in terms of GLD, the difference is being diminished year on year.</w:t>
            </w:r>
          </w:p>
          <w:p w14:paraId="40587B5E" w14:textId="1EF1A0DF" w:rsidR="00534E11" w:rsidRDefault="00534E11">
            <w:r>
              <w:t xml:space="preserve">We are confident that the difference between </w:t>
            </w:r>
            <w:proofErr w:type="spellStart"/>
            <w:r>
              <w:t>school’s</w:t>
            </w:r>
            <w:proofErr w:type="spellEnd"/>
            <w:r>
              <w:t xml:space="preserve"> and national outcomes for disadvantaged pupils will be diminished further in the light of the actions we have taken alongside a continuing, determined focus on and monitoring of pupil progress throughout the school. The most important aspect of our provision will continue to be a focus on actions, which positively impact upon quality first teaching to ensure that this is meeting the needs of our disadvantaged pupils The curriculum provision for every pupil premium child is, as for all our children, monitored regularly to enable them to accelerate their progress.</w:t>
            </w:r>
          </w:p>
          <w:tbl>
            <w:tblPr>
              <w:tblW w:w="5835" w:type="dxa"/>
              <w:tblCellMar>
                <w:top w:w="15" w:type="dxa"/>
                <w:bottom w:w="15" w:type="dxa"/>
              </w:tblCellMar>
              <w:tblLook w:val="04A0" w:firstRow="1" w:lastRow="0" w:firstColumn="1" w:lastColumn="0" w:noHBand="0" w:noVBand="1"/>
            </w:tblPr>
            <w:tblGrid>
              <w:gridCol w:w="4701"/>
              <w:gridCol w:w="1134"/>
            </w:tblGrid>
            <w:tr w:rsidR="00243205" w:rsidRPr="00243205" w14:paraId="224B6A8E" w14:textId="77777777" w:rsidTr="00243205">
              <w:trPr>
                <w:trHeight w:val="315"/>
              </w:trPr>
              <w:tc>
                <w:tcPr>
                  <w:tcW w:w="4701" w:type="dxa"/>
                  <w:tcBorders>
                    <w:top w:val="single" w:sz="4" w:space="0" w:color="auto"/>
                    <w:left w:val="single" w:sz="4" w:space="0" w:color="auto"/>
                    <w:bottom w:val="single" w:sz="4" w:space="0" w:color="auto"/>
                    <w:right w:val="nil"/>
                  </w:tcBorders>
                  <w:vAlign w:val="center"/>
                </w:tcPr>
                <w:p w14:paraId="16EFF21B" w14:textId="77777777" w:rsidR="00243205" w:rsidRPr="00243205" w:rsidRDefault="00243205" w:rsidP="00243205">
                  <w:pPr>
                    <w:suppressAutoHyphens w:val="0"/>
                    <w:autoSpaceDN/>
                    <w:spacing w:after="0" w:line="240" w:lineRule="auto"/>
                    <w:rPr>
                      <w:rFonts w:ascii="Calibri"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0E27A757" w14:textId="626EC790" w:rsidR="00243205" w:rsidRPr="00243205" w:rsidRDefault="00243205" w:rsidP="00243205">
                  <w:pPr>
                    <w:suppressAutoHyphens w:val="0"/>
                    <w:autoSpaceDN/>
                    <w:spacing w:after="0" w:line="240" w:lineRule="auto"/>
                    <w:jc w:val="center"/>
                    <w:rPr>
                      <w:rFonts w:ascii="Calibri" w:hAnsi="Calibri" w:cs="Calibri"/>
                      <w:color w:val="000000"/>
                    </w:rPr>
                  </w:pPr>
                  <w:r>
                    <w:rPr>
                      <w:rFonts w:ascii="Calibri" w:hAnsi="Calibri" w:cs="Calibri"/>
                      <w:color w:val="000000"/>
                    </w:rPr>
                    <w:t>%</w:t>
                  </w:r>
                </w:p>
              </w:tc>
            </w:tr>
            <w:tr w:rsidR="00243205" w:rsidRPr="00243205" w14:paraId="5157DBF2" w14:textId="77777777" w:rsidTr="00243205">
              <w:trPr>
                <w:trHeight w:val="315"/>
              </w:trPr>
              <w:tc>
                <w:tcPr>
                  <w:tcW w:w="4701" w:type="dxa"/>
                  <w:tcBorders>
                    <w:top w:val="single" w:sz="4" w:space="0" w:color="auto"/>
                    <w:left w:val="single" w:sz="4" w:space="0" w:color="auto"/>
                    <w:bottom w:val="single" w:sz="4" w:space="0" w:color="auto"/>
                    <w:right w:val="nil"/>
                  </w:tcBorders>
                  <w:vAlign w:val="center"/>
                  <w:hideMark/>
                </w:tcPr>
                <w:p w14:paraId="0E56600F" w14:textId="77777777" w:rsidR="00243205" w:rsidRPr="00243205" w:rsidRDefault="00243205" w:rsidP="00243205">
                  <w:pPr>
                    <w:suppressAutoHyphens w:val="0"/>
                    <w:autoSpaceDN/>
                    <w:spacing w:after="0" w:line="240" w:lineRule="auto"/>
                    <w:rPr>
                      <w:rFonts w:ascii="Calibri" w:hAnsi="Calibri" w:cs="Calibri"/>
                      <w:color w:val="000000"/>
                    </w:rPr>
                  </w:pPr>
                  <w:r w:rsidRPr="00243205">
                    <w:rPr>
                      <w:rFonts w:ascii="Calibri" w:hAnsi="Calibri" w:cs="Calibri"/>
                      <w:color w:val="000000"/>
                    </w:rPr>
                    <w:t>Good Level of Development (GLD)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AFE7AF" w14:textId="77777777" w:rsidR="00243205" w:rsidRPr="00243205" w:rsidRDefault="00243205" w:rsidP="00243205">
                  <w:pPr>
                    <w:suppressAutoHyphens w:val="0"/>
                    <w:autoSpaceDN/>
                    <w:spacing w:after="0" w:line="240" w:lineRule="auto"/>
                    <w:jc w:val="center"/>
                    <w:rPr>
                      <w:rFonts w:ascii="Calibri" w:hAnsi="Calibri" w:cs="Calibri"/>
                      <w:color w:val="000000"/>
                    </w:rPr>
                  </w:pPr>
                  <w:r w:rsidRPr="00243205">
                    <w:rPr>
                      <w:rFonts w:ascii="Calibri" w:hAnsi="Calibri" w:cs="Calibri"/>
                      <w:color w:val="000000"/>
                    </w:rPr>
                    <w:t>88</w:t>
                  </w:r>
                </w:p>
              </w:tc>
            </w:tr>
            <w:tr w:rsidR="00243205" w:rsidRPr="00243205" w14:paraId="67E5E665" w14:textId="77777777" w:rsidTr="00243205">
              <w:trPr>
                <w:trHeight w:val="315"/>
              </w:trPr>
              <w:tc>
                <w:tcPr>
                  <w:tcW w:w="4701" w:type="dxa"/>
                  <w:tcBorders>
                    <w:top w:val="single" w:sz="4" w:space="0" w:color="auto"/>
                    <w:left w:val="single" w:sz="4" w:space="0" w:color="auto"/>
                    <w:bottom w:val="single" w:sz="4" w:space="0" w:color="auto"/>
                    <w:right w:val="nil"/>
                  </w:tcBorders>
                  <w:vAlign w:val="center"/>
                  <w:hideMark/>
                </w:tcPr>
                <w:p w14:paraId="329DB5AC" w14:textId="77777777" w:rsidR="00243205" w:rsidRPr="00243205" w:rsidRDefault="00243205" w:rsidP="00243205">
                  <w:pPr>
                    <w:suppressAutoHyphens w:val="0"/>
                    <w:autoSpaceDN/>
                    <w:spacing w:after="0" w:line="240" w:lineRule="auto"/>
                    <w:rPr>
                      <w:rFonts w:ascii="Calibri" w:hAnsi="Calibri" w:cs="Calibri"/>
                      <w:color w:val="000000"/>
                    </w:rPr>
                  </w:pPr>
                  <w:r w:rsidRPr="00243205">
                    <w:rPr>
                      <w:rFonts w:ascii="Calibri" w:hAnsi="Calibri" w:cs="Calibri"/>
                      <w:color w:val="000000"/>
                    </w:rPr>
                    <w:t>Phonics (Year 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4F4A65" w14:textId="77777777" w:rsidR="00243205" w:rsidRPr="00243205" w:rsidRDefault="00243205" w:rsidP="00243205">
                  <w:pPr>
                    <w:suppressAutoHyphens w:val="0"/>
                    <w:autoSpaceDN/>
                    <w:spacing w:after="0" w:line="240" w:lineRule="auto"/>
                    <w:jc w:val="center"/>
                    <w:rPr>
                      <w:rFonts w:ascii="Calibri" w:hAnsi="Calibri" w:cs="Calibri"/>
                      <w:color w:val="000000"/>
                    </w:rPr>
                  </w:pPr>
                  <w:r w:rsidRPr="00243205">
                    <w:rPr>
                      <w:rFonts w:ascii="Calibri" w:hAnsi="Calibri" w:cs="Calibri"/>
                      <w:color w:val="000000"/>
                    </w:rPr>
                    <w:t>100</w:t>
                  </w:r>
                </w:p>
              </w:tc>
            </w:tr>
            <w:tr w:rsidR="00243205" w:rsidRPr="00243205" w14:paraId="17E9B9B3" w14:textId="77777777" w:rsidTr="00243205">
              <w:trPr>
                <w:trHeight w:val="315"/>
              </w:trPr>
              <w:tc>
                <w:tcPr>
                  <w:tcW w:w="4701" w:type="dxa"/>
                  <w:tcBorders>
                    <w:top w:val="single" w:sz="4" w:space="0" w:color="auto"/>
                    <w:left w:val="single" w:sz="4" w:space="0" w:color="auto"/>
                    <w:bottom w:val="single" w:sz="4" w:space="0" w:color="auto"/>
                    <w:right w:val="nil"/>
                  </w:tcBorders>
                  <w:vAlign w:val="center"/>
                  <w:hideMark/>
                </w:tcPr>
                <w:p w14:paraId="79C4AB7F" w14:textId="77777777" w:rsidR="00243205" w:rsidRPr="00243205" w:rsidRDefault="00243205" w:rsidP="00243205">
                  <w:pPr>
                    <w:suppressAutoHyphens w:val="0"/>
                    <w:autoSpaceDN/>
                    <w:spacing w:after="0" w:line="240" w:lineRule="auto"/>
                    <w:rPr>
                      <w:rFonts w:ascii="Calibri" w:hAnsi="Calibri" w:cs="Calibri"/>
                      <w:color w:val="000000"/>
                    </w:rPr>
                  </w:pPr>
                  <w:r w:rsidRPr="00243205">
                    <w:rPr>
                      <w:rFonts w:ascii="Calibri" w:hAnsi="Calibri" w:cs="Calibri"/>
                      <w:color w:val="000000"/>
                    </w:rPr>
                    <w:t>Phonics (Year 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F41C2E" w14:textId="77777777" w:rsidR="00243205" w:rsidRPr="00243205" w:rsidRDefault="00243205" w:rsidP="00243205">
                  <w:pPr>
                    <w:suppressAutoHyphens w:val="0"/>
                    <w:autoSpaceDN/>
                    <w:spacing w:after="0" w:line="240" w:lineRule="auto"/>
                    <w:jc w:val="center"/>
                    <w:rPr>
                      <w:rFonts w:ascii="Calibri" w:hAnsi="Calibri" w:cs="Calibri"/>
                      <w:color w:val="000000"/>
                    </w:rPr>
                  </w:pPr>
                  <w:r w:rsidRPr="00243205">
                    <w:rPr>
                      <w:rFonts w:ascii="Calibri" w:hAnsi="Calibri" w:cs="Calibri"/>
                      <w:color w:val="000000"/>
                    </w:rPr>
                    <w:t>100</w:t>
                  </w:r>
                </w:p>
              </w:tc>
            </w:tr>
            <w:tr w:rsidR="00243205" w:rsidRPr="00243205" w14:paraId="14D7B43A" w14:textId="77777777" w:rsidTr="00243205">
              <w:trPr>
                <w:trHeight w:val="315"/>
              </w:trPr>
              <w:tc>
                <w:tcPr>
                  <w:tcW w:w="4701" w:type="dxa"/>
                  <w:tcBorders>
                    <w:top w:val="single" w:sz="4" w:space="0" w:color="auto"/>
                    <w:left w:val="single" w:sz="4" w:space="0" w:color="auto"/>
                    <w:bottom w:val="single" w:sz="4" w:space="0" w:color="auto"/>
                    <w:right w:val="nil"/>
                  </w:tcBorders>
                  <w:vAlign w:val="center"/>
                  <w:hideMark/>
                </w:tcPr>
                <w:p w14:paraId="7C85C936" w14:textId="77777777" w:rsidR="00243205" w:rsidRPr="00243205" w:rsidRDefault="00243205" w:rsidP="00243205">
                  <w:pPr>
                    <w:suppressAutoHyphens w:val="0"/>
                    <w:autoSpaceDN/>
                    <w:spacing w:after="0" w:line="240" w:lineRule="auto"/>
                    <w:rPr>
                      <w:rFonts w:ascii="Calibri" w:hAnsi="Calibri" w:cs="Calibri"/>
                      <w:color w:val="000000"/>
                    </w:rPr>
                  </w:pPr>
                  <w:r w:rsidRPr="00243205">
                    <w:rPr>
                      <w:rFonts w:ascii="Calibri" w:hAnsi="Calibri" w:cs="Calibri"/>
                      <w:color w:val="000000"/>
                    </w:rPr>
                    <w:t>KS1 Reading EXS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851DDF" w14:textId="77777777" w:rsidR="00243205" w:rsidRPr="00243205" w:rsidRDefault="00243205" w:rsidP="00243205">
                  <w:pPr>
                    <w:suppressAutoHyphens w:val="0"/>
                    <w:autoSpaceDN/>
                    <w:spacing w:after="0" w:line="240" w:lineRule="auto"/>
                    <w:jc w:val="center"/>
                    <w:rPr>
                      <w:rFonts w:ascii="Calibri" w:hAnsi="Calibri" w:cs="Calibri"/>
                      <w:color w:val="000000"/>
                    </w:rPr>
                  </w:pPr>
                  <w:r w:rsidRPr="00243205">
                    <w:rPr>
                      <w:rFonts w:ascii="Calibri" w:hAnsi="Calibri" w:cs="Calibri"/>
                      <w:color w:val="000000"/>
                    </w:rPr>
                    <w:t>83</w:t>
                  </w:r>
                </w:p>
              </w:tc>
            </w:tr>
            <w:tr w:rsidR="00243205" w:rsidRPr="00243205" w14:paraId="51F16B83" w14:textId="77777777" w:rsidTr="00243205">
              <w:trPr>
                <w:trHeight w:val="315"/>
              </w:trPr>
              <w:tc>
                <w:tcPr>
                  <w:tcW w:w="4701" w:type="dxa"/>
                  <w:tcBorders>
                    <w:top w:val="single" w:sz="4" w:space="0" w:color="auto"/>
                    <w:left w:val="single" w:sz="4" w:space="0" w:color="auto"/>
                    <w:bottom w:val="single" w:sz="4" w:space="0" w:color="auto"/>
                    <w:right w:val="nil"/>
                  </w:tcBorders>
                  <w:vAlign w:val="center"/>
                  <w:hideMark/>
                </w:tcPr>
                <w:p w14:paraId="3229E219" w14:textId="77777777" w:rsidR="00243205" w:rsidRPr="00243205" w:rsidRDefault="00243205" w:rsidP="00243205">
                  <w:pPr>
                    <w:suppressAutoHyphens w:val="0"/>
                    <w:autoSpaceDN/>
                    <w:spacing w:after="0" w:line="240" w:lineRule="auto"/>
                    <w:rPr>
                      <w:rFonts w:ascii="Calibri" w:hAnsi="Calibri" w:cs="Calibri"/>
                      <w:color w:val="000000"/>
                    </w:rPr>
                  </w:pPr>
                  <w:r w:rsidRPr="00243205">
                    <w:rPr>
                      <w:rFonts w:ascii="Calibri" w:hAnsi="Calibri" w:cs="Calibri"/>
                      <w:color w:val="000000"/>
                    </w:rPr>
                    <w:t>KS1 Reading GDS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D3A86F" w14:textId="77777777" w:rsidR="00243205" w:rsidRPr="00243205" w:rsidRDefault="00243205" w:rsidP="00243205">
                  <w:pPr>
                    <w:suppressAutoHyphens w:val="0"/>
                    <w:autoSpaceDN/>
                    <w:spacing w:after="0" w:line="240" w:lineRule="auto"/>
                    <w:jc w:val="center"/>
                    <w:rPr>
                      <w:rFonts w:ascii="Calibri" w:hAnsi="Calibri" w:cs="Calibri"/>
                      <w:color w:val="000000"/>
                    </w:rPr>
                  </w:pPr>
                  <w:r w:rsidRPr="00243205">
                    <w:rPr>
                      <w:rFonts w:ascii="Calibri" w:hAnsi="Calibri" w:cs="Calibri"/>
                      <w:color w:val="000000"/>
                    </w:rPr>
                    <w:t>36</w:t>
                  </w:r>
                </w:p>
              </w:tc>
            </w:tr>
            <w:tr w:rsidR="00243205" w:rsidRPr="00243205" w14:paraId="48B08DB6" w14:textId="77777777" w:rsidTr="00243205">
              <w:trPr>
                <w:trHeight w:val="315"/>
              </w:trPr>
              <w:tc>
                <w:tcPr>
                  <w:tcW w:w="4701" w:type="dxa"/>
                  <w:tcBorders>
                    <w:top w:val="single" w:sz="4" w:space="0" w:color="auto"/>
                    <w:left w:val="single" w:sz="4" w:space="0" w:color="auto"/>
                    <w:bottom w:val="single" w:sz="4" w:space="0" w:color="auto"/>
                    <w:right w:val="nil"/>
                  </w:tcBorders>
                  <w:vAlign w:val="center"/>
                  <w:hideMark/>
                </w:tcPr>
                <w:p w14:paraId="35B65B7B" w14:textId="77777777" w:rsidR="00243205" w:rsidRPr="00243205" w:rsidRDefault="00243205" w:rsidP="00243205">
                  <w:pPr>
                    <w:suppressAutoHyphens w:val="0"/>
                    <w:autoSpaceDN/>
                    <w:spacing w:after="0" w:line="240" w:lineRule="auto"/>
                    <w:rPr>
                      <w:rFonts w:ascii="Calibri" w:hAnsi="Calibri" w:cs="Calibri"/>
                      <w:color w:val="000000"/>
                    </w:rPr>
                  </w:pPr>
                  <w:r w:rsidRPr="00243205">
                    <w:rPr>
                      <w:rFonts w:ascii="Calibri" w:hAnsi="Calibri" w:cs="Calibri"/>
                      <w:color w:val="000000"/>
                    </w:rPr>
                    <w:t>KS1 Writing EXS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E03DD3" w14:textId="77777777" w:rsidR="00243205" w:rsidRPr="00243205" w:rsidRDefault="00243205" w:rsidP="00243205">
                  <w:pPr>
                    <w:suppressAutoHyphens w:val="0"/>
                    <w:autoSpaceDN/>
                    <w:spacing w:after="0" w:line="240" w:lineRule="auto"/>
                    <w:jc w:val="center"/>
                    <w:rPr>
                      <w:rFonts w:ascii="Calibri" w:hAnsi="Calibri" w:cs="Calibri"/>
                      <w:color w:val="000000"/>
                    </w:rPr>
                  </w:pPr>
                  <w:r w:rsidRPr="00243205">
                    <w:rPr>
                      <w:rFonts w:ascii="Calibri" w:hAnsi="Calibri" w:cs="Calibri"/>
                      <w:color w:val="000000"/>
                    </w:rPr>
                    <w:t>80</w:t>
                  </w:r>
                </w:p>
              </w:tc>
            </w:tr>
            <w:tr w:rsidR="00243205" w:rsidRPr="00243205" w14:paraId="5BF21D88" w14:textId="77777777" w:rsidTr="00243205">
              <w:trPr>
                <w:trHeight w:val="315"/>
              </w:trPr>
              <w:tc>
                <w:tcPr>
                  <w:tcW w:w="4701" w:type="dxa"/>
                  <w:tcBorders>
                    <w:top w:val="single" w:sz="4" w:space="0" w:color="auto"/>
                    <w:left w:val="single" w:sz="4" w:space="0" w:color="auto"/>
                    <w:bottom w:val="single" w:sz="4" w:space="0" w:color="auto"/>
                    <w:right w:val="nil"/>
                  </w:tcBorders>
                  <w:vAlign w:val="center"/>
                  <w:hideMark/>
                </w:tcPr>
                <w:p w14:paraId="38395297" w14:textId="77777777" w:rsidR="00243205" w:rsidRPr="00243205" w:rsidRDefault="00243205" w:rsidP="00243205">
                  <w:pPr>
                    <w:suppressAutoHyphens w:val="0"/>
                    <w:autoSpaceDN/>
                    <w:spacing w:after="0" w:line="240" w:lineRule="auto"/>
                    <w:rPr>
                      <w:rFonts w:ascii="Calibri" w:hAnsi="Calibri" w:cs="Calibri"/>
                      <w:color w:val="000000"/>
                    </w:rPr>
                  </w:pPr>
                  <w:r w:rsidRPr="00243205">
                    <w:rPr>
                      <w:rFonts w:ascii="Calibri" w:hAnsi="Calibri" w:cs="Calibri"/>
                      <w:color w:val="000000"/>
                    </w:rPr>
                    <w:t>KS1 Writing GDS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222BAC" w14:textId="77777777" w:rsidR="00243205" w:rsidRPr="00243205" w:rsidRDefault="00243205" w:rsidP="00243205">
                  <w:pPr>
                    <w:suppressAutoHyphens w:val="0"/>
                    <w:autoSpaceDN/>
                    <w:spacing w:after="0" w:line="240" w:lineRule="auto"/>
                    <w:jc w:val="center"/>
                    <w:rPr>
                      <w:rFonts w:ascii="Calibri" w:hAnsi="Calibri" w:cs="Calibri"/>
                      <w:color w:val="000000"/>
                    </w:rPr>
                  </w:pPr>
                  <w:r w:rsidRPr="00243205">
                    <w:rPr>
                      <w:rFonts w:ascii="Calibri" w:hAnsi="Calibri" w:cs="Calibri"/>
                      <w:color w:val="000000"/>
                    </w:rPr>
                    <w:t>27</w:t>
                  </w:r>
                </w:p>
              </w:tc>
            </w:tr>
            <w:tr w:rsidR="00243205" w:rsidRPr="00243205" w14:paraId="295904ED" w14:textId="77777777" w:rsidTr="00243205">
              <w:trPr>
                <w:trHeight w:val="315"/>
              </w:trPr>
              <w:tc>
                <w:tcPr>
                  <w:tcW w:w="4701" w:type="dxa"/>
                  <w:tcBorders>
                    <w:top w:val="single" w:sz="4" w:space="0" w:color="auto"/>
                    <w:left w:val="single" w:sz="4" w:space="0" w:color="auto"/>
                    <w:bottom w:val="single" w:sz="4" w:space="0" w:color="auto"/>
                    <w:right w:val="nil"/>
                  </w:tcBorders>
                  <w:vAlign w:val="center"/>
                  <w:hideMark/>
                </w:tcPr>
                <w:p w14:paraId="7263BF26" w14:textId="77777777" w:rsidR="00243205" w:rsidRPr="00243205" w:rsidRDefault="00243205" w:rsidP="00243205">
                  <w:pPr>
                    <w:suppressAutoHyphens w:val="0"/>
                    <w:autoSpaceDN/>
                    <w:spacing w:after="0" w:line="240" w:lineRule="auto"/>
                    <w:rPr>
                      <w:rFonts w:ascii="Calibri" w:hAnsi="Calibri" w:cs="Calibri"/>
                      <w:color w:val="000000"/>
                    </w:rPr>
                  </w:pPr>
                  <w:r w:rsidRPr="00243205">
                    <w:rPr>
                      <w:rFonts w:ascii="Calibri" w:hAnsi="Calibri" w:cs="Calibri"/>
                      <w:color w:val="000000"/>
                    </w:rPr>
                    <w:t>KS1 Maths EXS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A8FF5A" w14:textId="77777777" w:rsidR="00243205" w:rsidRPr="00243205" w:rsidRDefault="00243205" w:rsidP="00243205">
                  <w:pPr>
                    <w:suppressAutoHyphens w:val="0"/>
                    <w:autoSpaceDN/>
                    <w:spacing w:after="0" w:line="240" w:lineRule="auto"/>
                    <w:jc w:val="center"/>
                    <w:rPr>
                      <w:rFonts w:ascii="Calibri" w:hAnsi="Calibri" w:cs="Calibri"/>
                      <w:color w:val="000000"/>
                    </w:rPr>
                  </w:pPr>
                  <w:r w:rsidRPr="00243205">
                    <w:rPr>
                      <w:rFonts w:ascii="Calibri" w:hAnsi="Calibri" w:cs="Calibri"/>
                      <w:color w:val="000000"/>
                    </w:rPr>
                    <w:t>90</w:t>
                  </w:r>
                </w:p>
              </w:tc>
            </w:tr>
            <w:tr w:rsidR="00243205" w:rsidRPr="00243205" w14:paraId="235E2BFD" w14:textId="77777777" w:rsidTr="00243205">
              <w:trPr>
                <w:trHeight w:val="315"/>
              </w:trPr>
              <w:tc>
                <w:tcPr>
                  <w:tcW w:w="4701" w:type="dxa"/>
                  <w:tcBorders>
                    <w:top w:val="single" w:sz="4" w:space="0" w:color="auto"/>
                    <w:left w:val="single" w:sz="4" w:space="0" w:color="auto"/>
                    <w:bottom w:val="single" w:sz="4" w:space="0" w:color="auto"/>
                    <w:right w:val="nil"/>
                  </w:tcBorders>
                  <w:vAlign w:val="center"/>
                  <w:hideMark/>
                </w:tcPr>
                <w:p w14:paraId="571EBADC" w14:textId="77777777" w:rsidR="00243205" w:rsidRPr="00243205" w:rsidRDefault="00243205" w:rsidP="00243205">
                  <w:pPr>
                    <w:suppressAutoHyphens w:val="0"/>
                    <w:autoSpaceDN/>
                    <w:spacing w:after="0" w:line="240" w:lineRule="auto"/>
                    <w:rPr>
                      <w:rFonts w:ascii="Calibri" w:hAnsi="Calibri" w:cs="Calibri"/>
                      <w:color w:val="000000"/>
                    </w:rPr>
                  </w:pPr>
                  <w:r w:rsidRPr="00243205">
                    <w:rPr>
                      <w:rFonts w:ascii="Calibri" w:hAnsi="Calibri" w:cs="Calibri"/>
                      <w:color w:val="000000"/>
                    </w:rPr>
                    <w:t>KS1 Maths GDS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F35DB1" w14:textId="77777777" w:rsidR="00243205" w:rsidRPr="00243205" w:rsidRDefault="00243205" w:rsidP="00243205">
                  <w:pPr>
                    <w:suppressAutoHyphens w:val="0"/>
                    <w:autoSpaceDN/>
                    <w:spacing w:after="0" w:line="240" w:lineRule="auto"/>
                    <w:jc w:val="center"/>
                    <w:rPr>
                      <w:rFonts w:ascii="Calibri" w:hAnsi="Calibri" w:cs="Calibri"/>
                      <w:color w:val="000000"/>
                    </w:rPr>
                  </w:pPr>
                  <w:r w:rsidRPr="00243205">
                    <w:rPr>
                      <w:rFonts w:ascii="Calibri" w:hAnsi="Calibri" w:cs="Calibri"/>
                      <w:color w:val="000000"/>
                    </w:rPr>
                    <w:t>34</w:t>
                  </w:r>
                </w:p>
              </w:tc>
            </w:tr>
            <w:tr w:rsidR="00243205" w:rsidRPr="00243205" w14:paraId="2D281116" w14:textId="77777777" w:rsidTr="00243205">
              <w:trPr>
                <w:trHeight w:val="315"/>
              </w:trPr>
              <w:tc>
                <w:tcPr>
                  <w:tcW w:w="4701" w:type="dxa"/>
                  <w:tcBorders>
                    <w:top w:val="single" w:sz="4" w:space="0" w:color="auto"/>
                    <w:left w:val="single" w:sz="4" w:space="0" w:color="auto"/>
                    <w:bottom w:val="single" w:sz="4" w:space="0" w:color="auto"/>
                    <w:right w:val="nil"/>
                  </w:tcBorders>
                  <w:vAlign w:val="center"/>
                  <w:hideMark/>
                </w:tcPr>
                <w:p w14:paraId="6ECA56D5" w14:textId="77777777" w:rsidR="00243205" w:rsidRPr="00243205" w:rsidRDefault="00243205" w:rsidP="00243205">
                  <w:pPr>
                    <w:suppressAutoHyphens w:val="0"/>
                    <w:autoSpaceDN/>
                    <w:spacing w:after="0" w:line="240" w:lineRule="auto"/>
                    <w:rPr>
                      <w:rFonts w:ascii="Calibri" w:hAnsi="Calibri" w:cs="Calibri"/>
                      <w:color w:val="000000"/>
                    </w:rPr>
                  </w:pPr>
                  <w:r w:rsidRPr="00243205">
                    <w:rPr>
                      <w:rFonts w:ascii="Calibri" w:hAnsi="Calibri" w:cs="Calibri"/>
                      <w:color w:val="000000"/>
                    </w:rPr>
                    <w:t>KS1 RWM Combined EXS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7225FC" w14:textId="77777777" w:rsidR="00243205" w:rsidRPr="00243205" w:rsidRDefault="00243205" w:rsidP="00243205">
                  <w:pPr>
                    <w:suppressAutoHyphens w:val="0"/>
                    <w:autoSpaceDN/>
                    <w:spacing w:after="0" w:line="240" w:lineRule="auto"/>
                    <w:jc w:val="center"/>
                    <w:rPr>
                      <w:rFonts w:ascii="Calibri" w:hAnsi="Calibri" w:cs="Calibri"/>
                      <w:color w:val="000000"/>
                    </w:rPr>
                  </w:pPr>
                  <w:r w:rsidRPr="00243205">
                    <w:rPr>
                      <w:rFonts w:ascii="Calibri" w:hAnsi="Calibri" w:cs="Calibri"/>
                      <w:color w:val="000000"/>
                    </w:rPr>
                    <w:t>80</w:t>
                  </w:r>
                </w:p>
              </w:tc>
            </w:tr>
            <w:tr w:rsidR="00243205" w:rsidRPr="00243205" w14:paraId="798722E8" w14:textId="77777777" w:rsidTr="00243205">
              <w:trPr>
                <w:trHeight w:val="315"/>
              </w:trPr>
              <w:tc>
                <w:tcPr>
                  <w:tcW w:w="4701" w:type="dxa"/>
                  <w:tcBorders>
                    <w:top w:val="single" w:sz="4" w:space="0" w:color="auto"/>
                    <w:left w:val="single" w:sz="4" w:space="0" w:color="auto"/>
                    <w:bottom w:val="single" w:sz="4" w:space="0" w:color="auto"/>
                    <w:right w:val="nil"/>
                  </w:tcBorders>
                  <w:vAlign w:val="center"/>
                  <w:hideMark/>
                </w:tcPr>
                <w:p w14:paraId="752438FA" w14:textId="77777777" w:rsidR="00243205" w:rsidRPr="00243205" w:rsidRDefault="00243205" w:rsidP="00243205">
                  <w:pPr>
                    <w:suppressAutoHyphens w:val="0"/>
                    <w:autoSpaceDN/>
                    <w:spacing w:after="0" w:line="240" w:lineRule="auto"/>
                    <w:rPr>
                      <w:rFonts w:ascii="Calibri" w:hAnsi="Calibri" w:cs="Calibri"/>
                      <w:color w:val="000000"/>
                    </w:rPr>
                  </w:pPr>
                  <w:r w:rsidRPr="00243205">
                    <w:rPr>
                      <w:rFonts w:ascii="Calibri" w:hAnsi="Calibri" w:cs="Calibri"/>
                      <w:color w:val="000000"/>
                    </w:rPr>
                    <w:t>KS1 RWM Combined GDS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AAD3AC" w14:textId="77777777" w:rsidR="00243205" w:rsidRPr="00243205" w:rsidRDefault="00243205" w:rsidP="00243205">
                  <w:pPr>
                    <w:suppressAutoHyphens w:val="0"/>
                    <w:autoSpaceDN/>
                    <w:spacing w:after="0" w:line="240" w:lineRule="auto"/>
                    <w:jc w:val="center"/>
                    <w:rPr>
                      <w:rFonts w:ascii="Calibri" w:hAnsi="Calibri" w:cs="Calibri"/>
                      <w:color w:val="000000"/>
                    </w:rPr>
                  </w:pPr>
                  <w:r w:rsidRPr="00243205">
                    <w:rPr>
                      <w:rFonts w:ascii="Calibri" w:hAnsi="Calibri" w:cs="Calibri"/>
                      <w:color w:val="000000"/>
                    </w:rPr>
                    <w:t>27</w:t>
                  </w:r>
                </w:p>
              </w:tc>
            </w:tr>
          </w:tbl>
          <w:p w14:paraId="18AB1ED8" w14:textId="77777777" w:rsidR="00243205" w:rsidRDefault="00243205"/>
          <w:tbl>
            <w:tblPr>
              <w:tblW w:w="5920" w:type="dxa"/>
              <w:tblCellMar>
                <w:top w:w="15" w:type="dxa"/>
                <w:bottom w:w="15" w:type="dxa"/>
              </w:tblCellMar>
              <w:tblLook w:val="04A0" w:firstRow="1" w:lastRow="0" w:firstColumn="1" w:lastColumn="0" w:noHBand="0" w:noVBand="1"/>
            </w:tblPr>
            <w:tblGrid>
              <w:gridCol w:w="4620"/>
              <w:gridCol w:w="1300"/>
            </w:tblGrid>
            <w:tr w:rsidR="00243205" w:rsidRPr="00243205" w14:paraId="0A0DEE65" w14:textId="77777777" w:rsidTr="00243205">
              <w:trPr>
                <w:trHeight w:val="315"/>
              </w:trPr>
              <w:tc>
                <w:tcPr>
                  <w:tcW w:w="4620" w:type="dxa"/>
                  <w:tcBorders>
                    <w:top w:val="single" w:sz="4" w:space="0" w:color="auto"/>
                    <w:left w:val="single" w:sz="4" w:space="0" w:color="auto"/>
                    <w:bottom w:val="single" w:sz="4" w:space="0" w:color="auto"/>
                    <w:right w:val="nil"/>
                  </w:tcBorders>
                  <w:vAlign w:val="center"/>
                  <w:hideMark/>
                </w:tcPr>
                <w:p w14:paraId="48DEACEA" w14:textId="77777777" w:rsidR="00243205" w:rsidRPr="00243205" w:rsidRDefault="00243205" w:rsidP="00243205">
                  <w:pPr>
                    <w:suppressAutoHyphens w:val="0"/>
                    <w:autoSpaceDN/>
                    <w:spacing w:after="0" w:line="240" w:lineRule="auto"/>
                    <w:rPr>
                      <w:rFonts w:ascii="Calibri" w:hAnsi="Calibri" w:cs="Calibri"/>
                      <w:color w:val="000000"/>
                    </w:rPr>
                  </w:pPr>
                  <w:r w:rsidRPr="00243205">
                    <w:rPr>
                      <w:rFonts w:ascii="Calibri" w:hAnsi="Calibri" w:cs="Calibri"/>
                      <w:color w:val="000000"/>
                    </w:rPr>
                    <w:t>KS2 Reading EXS</w:t>
                  </w:r>
                </w:p>
              </w:tc>
              <w:tc>
                <w:tcPr>
                  <w:tcW w:w="1300" w:type="dxa"/>
                  <w:tcBorders>
                    <w:top w:val="single" w:sz="4" w:space="0" w:color="auto"/>
                    <w:left w:val="single" w:sz="4" w:space="0" w:color="auto"/>
                    <w:bottom w:val="single" w:sz="4" w:space="0" w:color="auto"/>
                    <w:right w:val="single" w:sz="4" w:space="0" w:color="auto"/>
                  </w:tcBorders>
                  <w:vAlign w:val="center"/>
                  <w:hideMark/>
                </w:tcPr>
                <w:p w14:paraId="219C73A9" w14:textId="77777777" w:rsidR="00243205" w:rsidRPr="00243205" w:rsidRDefault="00243205" w:rsidP="00243205">
                  <w:pPr>
                    <w:suppressAutoHyphens w:val="0"/>
                    <w:autoSpaceDN/>
                    <w:spacing w:after="0" w:line="240" w:lineRule="auto"/>
                    <w:jc w:val="center"/>
                    <w:rPr>
                      <w:rFonts w:ascii="Calibri" w:hAnsi="Calibri" w:cs="Calibri"/>
                      <w:color w:val="000000"/>
                    </w:rPr>
                  </w:pPr>
                  <w:r w:rsidRPr="00243205">
                    <w:rPr>
                      <w:rFonts w:ascii="Calibri" w:hAnsi="Calibri" w:cs="Calibri"/>
                      <w:color w:val="000000"/>
                    </w:rPr>
                    <w:t>87</w:t>
                  </w:r>
                </w:p>
              </w:tc>
            </w:tr>
            <w:tr w:rsidR="00243205" w:rsidRPr="00243205" w14:paraId="0B7570F6" w14:textId="77777777" w:rsidTr="00243205">
              <w:trPr>
                <w:trHeight w:val="315"/>
              </w:trPr>
              <w:tc>
                <w:tcPr>
                  <w:tcW w:w="4620" w:type="dxa"/>
                  <w:tcBorders>
                    <w:top w:val="single" w:sz="4" w:space="0" w:color="auto"/>
                    <w:left w:val="single" w:sz="4" w:space="0" w:color="auto"/>
                    <w:bottom w:val="single" w:sz="4" w:space="0" w:color="auto"/>
                    <w:right w:val="nil"/>
                  </w:tcBorders>
                  <w:vAlign w:val="center"/>
                  <w:hideMark/>
                </w:tcPr>
                <w:p w14:paraId="537F3D8E" w14:textId="77777777" w:rsidR="00243205" w:rsidRPr="00243205" w:rsidRDefault="00243205" w:rsidP="00243205">
                  <w:pPr>
                    <w:suppressAutoHyphens w:val="0"/>
                    <w:autoSpaceDN/>
                    <w:spacing w:after="0" w:line="240" w:lineRule="auto"/>
                    <w:rPr>
                      <w:rFonts w:ascii="Calibri" w:hAnsi="Calibri" w:cs="Calibri"/>
                      <w:color w:val="000000"/>
                    </w:rPr>
                  </w:pPr>
                  <w:r w:rsidRPr="00243205">
                    <w:rPr>
                      <w:rFonts w:ascii="Calibri" w:hAnsi="Calibri" w:cs="Calibri"/>
                      <w:color w:val="000000"/>
                    </w:rPr>
                    <w:t>KS2 Reading GDS</w:t>
                  </w:r>
                </w:p>
              </w:tc>
              <w:tc>
                <w:tcPr>
                  <w:tcW w:w="1300" w:type="dxa"/>
                  <w:tcBorders>
                    <w:top w:val="single" w:sz="4" w:space="0" w:color="auto"/>
                    <w:left w:val="single" w:sz="4" w:space="0" w:color="auto"/>
                    <w:bottom w:val="single" w:sz="4" w:space="0" w:color="auto"/>
                    <w:right w:val="single" w:sz="4" w:space="0" w:color="auto"/>
                  </w:tcBorders>
                  <w:vAlign w:val="center"/>
                  <w:hideMark/>
                </w:tcPr>
                <w:p w14:paraId="53695883" w14:textId="77777777" w:rsidR="00243205" w:rsidRPr="00243205" w:rsidRDefault="00243205" w:rsidP="00243205">
                  <w:pPr>
                    <w:suppressAutoHyphens w:val="0"/>
                    <w:autoSpaceDN/>
                    <w:spacing w:after="0" w:line="240" w:lineRule="auto"/>
                    <w:jc w:val="center"/>
                    <w:rPr>
                      <w:rFonts w:ascii="Calibri" w:hAnsi="Calibri" w:cs="Calibri"/>
                      <w:color w:val="000000"/>
                    </w:rPr>
                  </w:pPr>
                  <w:r w:rsidRPr="00243205">
                    <w:rPr>
                      <w:rFonts w:ascii="Calibri" w:hAnsi="Calibri" w:cs="Calibri"/>
                      <w:color w:val="000000"/>
                    </w:rPr>
                    <w:t>37</w:t>
                  </w:r>
                </w:p>
              </w:tc>
            </w:tr>
            <w:tr w:rsidR="00243205" w:rsidRPr="00243205" w14:paraId="307A160F" w14:textId="77777777" w:rsidTr="00243205">
              <w:trPr>
                <w:trHeight w:val="315"/>
              </w:trPr>
              <w:tc>
                <w:tcPr>
                  <w:tcW w:w="4620" w:type="dxa"/>
                  <w:tcBorders>
                    <w:top w:val="single" w:sz="4" w:space="0" w:color="auto"/>
                    <w:left w:val="single" w:sz="4" w:space="0" w:color="auto"/>
                    <w:bottom w:val="single" w:sz="4" w:space="0" w:color="auto"/>
                    <w:right w:val="nil"/>
                  </w:tcBorders>
                  <w:vAlign w:val="center"/>
                  <w:hideMark/>
                </w:tcPr>
                <w:p w14:paraId="337B38E7" w14:textId="77777777" w:rsidR="00243205" w:rsidRPr="00243205" w:rsidRDefault="00243205" w:rsidP="00243205">
                  <w:pPr>
                    <w:suppressAutoHyphens w:val="0"/>
                    <w:autoSpaceDN/>
                    <w:spacing w:after="0" w:line="240" w:lineRule="auto"/>
                    <w:rPr>
                      <w:rFonts w:ascii="Calibri" w:hAnsi="Calibri" w:cs="Calibri"/>
                      <w:color w:val="000000"/>
                    </w:rPr>
                  </w:pPr>
                  <w:r w:rsidRPr="00243205">
                    <w:rPr>
                      <w:rFonts w:ascii="Calibri" w:hAnsi="Calibri" w:cs="Calibri"/>
                      <w:color w:val="000000"/>
                    </w:rPr>
                    <w:lastRenderedPageBreak/>
                    <w:t>KS2 Writing EXS</w:t>
                  </w:r>
                </w:p>
              </w:tc>
              <w:tc>
                <w:tcPr>
                  <w:tcW w:w="1300" w:type="dxa"/>
                  <w:tcBorders>
                    <w:top w:val="single" w:sz="4" w:space="0" w:color="auto"/>
                    <w:left w:val="single" w:sz="4" w:space="0" w:color="auto"/>
                    <w:bottom w:val="single" w:sz="4" w:space="0" w:color="auto"/>
                    <w:right w:val="single" w:sz="4" w:space="0" w:color="auto"/>
                  </w:tcBorders>
                  <w:vAlign w:val="center"/>
                  <w:hideMark/>
                </w:tcPr>
                <w:p w14:paraId="1942BDDA" w14:textId="77777777" w:rsidR="00243205" w:rsidRPr="00243205" w:rsidRDefault="00243205" w:rsidP="00243205">
                  <w:pPr>
                    <w:suppressAutoHyphens w:val="0"/>
                    <w:autoSpaceDN/>
                    <w:spacing w:after="0" w:line="240" w:lineRule="auto"/>
                    <w:jc w:val="center"/>
                    <w:rPr>
                      <w:rFonts w:ascii="Calibri" w:hAnsi="Calibri" w:cs="Calibri"/>
                      <w:color w:val="000000"/>
                    </w:rPr>
                  </w:pPr>
                  <w:r w:rsidRPr="00243205">
                    <w:rPr>
                      <w:rFonts w:ascii="Calibri" w:hAnsi="Calibri" w:cs="Calibri"/>
                      <w:color w:val="000000"/>
                    </w:rPr>
                    <w:t>84</w:t>
                  </w:r>
                </w:p>
              </w:tc>
            </w:tr>
            <w:tr w:rsidR="00243205" w:rsidRPr="00243205" w14:paraId="7A8DE8E3" w14:textId="77777777" w:rsidTr="00243205">
              <w:trPr>
                <w:trHeight w:val="315"/>
              </w:trPr>
              <w:tc>
                <w:tcPr>
                  <w:tcW w:w="4620" w:type="dxa"/>
                  <w:tcBorders>
                    <w:top w:val="single" w:sz="4" w:space="0" w:color="auto"/>
                    <w:left w:val="single" w:sz="4" w:space="0" w:color="auto"/>
                    <w:bottom w:val="single" w:sz="4" w:space="0" w:color="auto"/>
                    <w:right w:val="nil"/>
                  </w:tcBorders>
                  <w:vAlign w:val="center"/>
                  <w:hideMark/>
                </w:tcPr>
                <w:p w14:paraId="56AD0A53" w14:textId="77777777" w:rsidR="00243205" w:rsidRPr="00243205" w:rsidRDefault="00243205" w:rsidP="00243205">
                  <w:pPr>
                    <w:suppressAutoHyphens w:val="0"/>
                    <w:autoSpaceDN/>
                    <w:spacing w:after="0" w:line="240" w:lineRule="auto"/>
                    <w:rPr>
                      <w:rFonts w:ascii="Calibri" w:hAnsi="Calibri" w:cs="Calibri"/>
                      <w:color w:val="000000"/>
                    </w:rPr>
                  </w:pPr>
                  <w:r w:rsidRPr="00243205">
                    <w:rPr>
                      <w:rFonts w:ascii="Calibri" w:hAnsi="Calibri" w:cs="Calibri"/>
                      <w:color w:val="000000"/>
                    </w:rPr>
                    <w:t>KS2 Writing GDS</w:t>
                  </w:r>
                </w:p>
              </w:tc>
              <w:tc>
                <w:tcPr>
                  <w:tcW w:w="1300" w:type="dxa"/>
                  <w:tcBorders>
                    <w:top w:val="single" w:sz="4" w:space="0" w:color="auto"/>
                    <w:left w:val="single" w:sz="4" w:space="0" w:color="auto"/>
                    <w:bottom w:val="single" w:sz="4" w:space="0" w:color="auto"/>
                    <w:right w:val="single" w:sz="4" w:space="0" w:color="auto"/>
                  </w:tcBorders>
                  <w:vAlign w:val="center"/>
                  <w:hideMark/>
                </w:tcPr>
                <w:p w14:paraId="4771F9EE" w14:textId="77777777" w:rsidR="00243205" w:rsidRPr="00243205" w:rsidRDefault="00243205" w:rsidP="00243205">
                  <w:pPr>
                    <w:suppressAutoHyphens w:val="0"/>
                    <w:autoSpaceDN/>
                    <w:spacing w:after="0" w:line="240" w:lineRule="auto"/>
                    <w:jc w:val="center"/>
                    <w:rPr>
                      <w:rFonts w:ascii="Calibri" w:hAnsi="Calibri" w:cs="Calibri"/>
                      <w:color w:val="000000"/>
                    </w:rPr>
                  </w:pPr>
                  <w:r w:rsidRPr="00243205">
                    <w:rPr>
                      <w:rFonts w:ascii="Calibri" w:hAnsi="Calibri" w:cs="Calibri"/>
                      <w:color w:val="000000"/>
                    </w:rPr>
                    <w:t>29</w:t>
                  </w:r>
                </w:p>
              </w:tc>
            </w:tr>
            <w:tr w:rsidR="00243205" w:rsidRPr="00243205" w14:paraId="69E88591" w14:textId="77777777" w:rsidTr="00243205">
              <w:trPr>
                <w:trHeight w:val="315"/>
              </w:trPr>
              <w:tc>
                <w:tcPr>
                  <w:tcW w:w="4620" w:type="dxa"/>
                  <w:tcBorders>
                    <w:top w:val="single" w:sz="4" w:space="0" w:color="auto"/>
                    <w:left w:val="single" w:sz="4" w:space="0" w:color="auto"/>
                    <w:bottom w:val="single" w:sz="4" w:space="0" w:color="auto"/>
                    <w:right w:val="nil"/>
                  </w:tcBorders>
                  <w:vAlign w:val="center"/>
                  <w:hideMark/>
                </w:tcPr>
                <w:p w14:paraId="312C4CF8" w14:textId="77777777" w:rsidR="00243205" w:rsidRPr="00243205" w:rsidRDefault="00243205" w:rsidP="00243205">
                  <w:pPr>
                    <w:suppressAutoHyphens w:val="0"/>
                    <w:autoSpaceDN/>
                    <w:spacing w:after="0" w:line="240" w:lineRule="auto"/>
                    <w:rPr>
                      <w:rFonts w:ascii="Calibri" w:hAnsi="Calibri" w:cs="Calibri"/>
                      <w:color w:val="000000"/>
                    </w:rPr>
                  </w:pPr>
                  <w:r w:rsidRPr="00243205">
                    <w:rPr>
                      <w:rFonts w:ascii="Calibri" w:hAnsi="Calibri" w:cs="Calibri"/>
                      <w:color w:val="000000"/>
                    </w:rPr>
                    <w:t>KS2 Maths EXS</w:t>
                  </w:r>
                </w:p>
              </w:tc>
              <w:tc>
                <w:tcPr>
                  <w:tcW w:w="1300" w:type="dxa"/>
                  <w:tcBorders>
                    <w:top w:val="single" w:sz="4" w:space="0" w:color="auto"/>
                    <w:left w:val="single" w:sz="4" w:space="0" w:color="auto"/>
                    <w:bottom w:val="single" w:sz="4" w:space="0" w:color="auto"/>
                    <w:right w:val="single" w:sz="4" w:space="0" w:color="auto"/>
                  </w:tcBorders>
                  <w:vAlign w:val="center"/>
                  <w:hideMark/>
                </w:tcPr>
                <w:p w14:paraId="0B918D5B" w14:textId="77777777" w:rsidR="00243205" w:rsidRPr="00243205" w:rsidRDefault="00243205" w:rsidP="00243205">
                  <w:pPr>
                    <w:suppressAutoHyphens w:val="0"/>
                    <w:autoSpaceDN/>
                    <w:spacing w:after="0" w:line="240" w:lineRule="auto"/>
                    <w:jc w:val="center"/>
                    <w:rPr>
                      <w:rFonts w:ascii="Calibri" w:hAnsi="Calibri" w:cs="Calibri"/>
                      <w:color w:val="000000"/>
                    </w:rPr>
                  </w:pPr>
                  <w:r w:rsidRPr="00243205">
                    <w:rPr>
                      <w:rFonts w:ascii="Calibri" w:hAnsi="Calibri" w:cs="Calibri"/>
                      <w:color w:val="000000"/>
                    </w:rPr>
                    <w:t>90</w:t>
                  </w:r>
                </w:p>
              </w:tc>
            </w:tr>
            <w:tr w:rsidR="00243205" w:rsidRPr="00243205" w14:paraId="1B206650" w14:textId="77777777" w:rsidTr="00243205">
              <w:trPr>
                <w:trHeight w:val="315"/>
              </w:trPr>
              <w:tc>
                <w:tcPr>
                  <w:tcW w:w="4620" w:type="dxa"/>
                  <w:tcBorders>
                    <w:top w:val="single" w:sz="4" w:space="0" w:color="auto"/>
                    <w:left w:val="single" w:sz="4" w:space="0" w:color="auto"/>
                    <w:bottom w:val="single" w:sz="4" w:space="0" w:color="auto"/>
                    <w:right w:val="nil"/>
                  </w:tcBorders>
                  <w:vAlign w:val="center"/>
                  <w:hideMark/>
                </w:tcPr>
                <w:p w14:paraId="1858FDA5" w14:textId="77777777" w:rsidR="00243205" w:rsidRPr="00243205" w:rsidRDefault="00243205" w:rsidP="00243205">
                  <w:pPr>
                    <w:suppressAutoHyphens w:val="0"/>
                    <w:autoSpaceDN/>
                    <w:spacing w:after="0" w:line="240" w:lineRule="auto"/>
                    <w:rPr>
                      <w:rFonts w:ascii="Calibri" w:hAnsi="Calibri" w:cs="Calibri"/>
                      <w:color w:val="000000"/>
                    </w:rPr>
                  </w:pPr>
                  <w:r w:rsidRPr="00243205">
                    <w:rPr>
                      <w:rFonts w:ascii="Calibri" w:hAnsi="Calibri" w:cs="Calibri"/>
                      <w:color w:val="000000"/>
                    </w:rPr>
                    <w:t>KS2 Maths GDS</w:t>
                  </w:r>
                </w:p>
              </w:tc>
              <w:tc>
                <w:tcPr>
                  <w:tcW w:w="1300" w:type="dxa"/>
                  <w:tcBorders>
                    <w:top w:val="single" w:sz="4" w:space="0" w:color="auto"/>
                    <w:left w:val="single" w:sz="4" w:space="0" w:color="auto"/>
                    <w:bottom w:val="single" w:sz="4" w:space="0" w:color="auto"/>
                    <w:right w:val="single" w:sz="4" w:space="0" w:color="auto"/>
                  </w:tcBorders>
                  <w:vAlign w:val="center"/>
                  <w:hideMark/>
                </w:tcPr>
                <w:p w14:paraId="290760FC" w14:textId="77777777" w:rsidR="00243205" w:rsidRPr="00243205" w:rsidRDefault="00243205" w:rsidP="00243205">
                  <w:pPr>
                    <w:suppressAutoHyphens w:val="0"/>
                    <w:autoSpaceDN/>
                    <w:spacing w:after="0" w:line="240" w:lineRule="auto"/>
                    <w:jc w:val="center"/>
                    <w:rPr>
                      <w:rFonts w:ascii="Calibri" w:hAnsi="Calibri" w:cs="Calibri"/>
                      <w:color w:val="000000"/>
                    </w:rPr>
                  </w:pPr>
                  <w:r w:rsidRPr="00243205">
                    <w:rPr>
                      <w:rFonts w:ascii="Calibri" w:hAnsi="Calibri" w:cs="Calibri"/>
                      <w:color w:val="000000"/>
                    </w:rPr>
                    <w:t>43</w:t>
                  </w:r>
                </w:p>
              </w:tc>
            </w:tr>
            <w:tr w:rsidR="00243205" w:rsidRPr="00243205" w14:paraId="448D8815" w14:textId="77777777" w:rsidTr="00243205">
              <w:trPr>
                <w:trHeight w:val="315"/>
              </w:trPr>
              <w:tc>
                <w:tcPr>
                  <w:tcW w:w="4620" w:type="dxa"/>
                  <w:tcBorders>
                    <w:top w:val="single" w:sz="4" w:space="0" w:color="auto"/>
                    <w:left w:val="single" w:sz="4" w:space="0" w:color="auto"/>
                    <w:bottom w:val="single" w:sz="4" w:space="0" w:color="auto"/>
                    <w:right w:val="nil"/>
                  </w:tcBorders>
                  <w:vAlign w:val="center"/>
                  <w:hideMark/>
                </w:tcPr>
                <w:p w14:paraId="4501B878" w14:textId="77777777" w:rsidR="00243205" w:rsidRPr="00243205" w:rsidRDefault="00243205" w:rsidP="00243205">
                  <w:pPr>
                    <w:suppressAutoHyphens w:val="0"/>
                    <w:autoSpaceDN/>
                    <w:spacing w:after="0" w:line="240" w:lineRule="auto"/>
                    <w:rPr>
                      <w:rFonts w:ascii="Calibri" w:hAnsi="Calibri" w:cs="Calibri"/>
                      <w:color w:val="auto"/>
                    </w:rPr>
                  </w:pPr>
                  <w:r w:rsidRPr="00243205">
                    <w:rPr>
                      <w:rFonts w:ascii="Calibri" w:hAnsi="Calibri" w:cs="Calibri"/>
                      <w:color w:val="auto"/>
                    </w:rPr>
                    <w:t>KS2 GPS EXS</w:t>
                  </w:r>
                </w:p>
              </w:tc>
              <w:tc>
                <w:tcPr>
                  <w:tcW w:w="1300" w:type="dxa"/>
                  <w:tcBorders>
                    <w:top w:val="single" w:sz="4" w:space="0" w:color="auto"/>
                    <w:left w:val="single" w:sz="4" w:space="0" w:color="auto"/>
                    <w:bottom w:val="single" w:sz="4" w:space="0" w:color="auto"/>
                    <w:right w:val="single" w:sz="4" w:space="0" w:color="auto"/>
                  </w:tcBorders>
                  <w:vAlign w:val="center"/>
                  <w:hideMark/>
                </w:tcPr>
                <w:p w14:paraId="6E0EB047" w14:textId="77777777" w:rsidR="00243205" w:rsidRPr="00243205" w:rsidRDefault="00243205" w:rsidP="00243205">
                  <w:pPr>
                    <w:suppressAutoHyphens w:val="0"/>
                    <w:autoSpaceDN/>
                    <w:spacing w:after="0" w:line="240" w:lineRule="auto"/>
                    <w:jc w:val="center"/>
                    <w:rPr>
                      <w:rFonts w:ascii="Calibri" w:hAnsi="Calibri" w:cs="Calibri"/>
                      <w:color w:val="000000"/>
                    </w:rPr>
                  </w:pPr>
                  <w:r w:rsidRPr="00243205">
                    <w:rPr>
                      <w:rFonts w:ascii="Calibri" w:hAnsi="Calibri" w:cs="Calibri"/>
                      <w:color w:val="000000"/>
                    </w:rPr>
                    <w:t>90</w:t>
                  </w:r>
                </w:p>
              </w:tc>
            </w:tr>
            <w:tr w:rsidR="00243205" w:rsidRPr="00243205" w14:paraId="2B578758" w14:textId="77777777" w:rsidTr="00243205">
              <w:trPr>
                <w:trHeight w:val="315"/>
              </w:trPr>
              <w:tc>
                <w:tcPr>
                  <w:tcW w:w="4620" w:type="dxa"/>
                  <w:tcBorders>
                    <w:top w:val="single" w:sz="4" w:space="0" w:color="auto"/>
                    <w:left w:val="single" w:sz="4" w:space="0" w:color="auto"/>
                    <w:bottom w:val="single" w:sz="4" w:space="0" w:color="auto"/>
                    <w:right w:val="nil"/>
                  </w:tcBorders>
                  <w:vAlign w:val="center"/>
                  <w:hideMark/>
                </w:tcPr>
                <w:p w14:paraId="04AA63E0" w14:textId="77777777" w:rsidR="00243205" w:rsidRPr="00243205" w:rsidRDefault="00243205" w:rsidP="00243205">
                  <w:pPr>
                    <w:suppressAutoHyphens w:val="0"/>
                    <w:autoSpaceDN/>
                    <w:spacing w:after="0" w:line="240" w:lineRule="auto"/>
                    <w:rPr>
                      <w:rFonts w:ascii="Calibri" w:hAnsi="Calibri" w:cs="Calibri"/>
                      <w:color w:val="auto"/>
                    </w:rPr>
                  </w:pPr>
                  <w:r w:rsidRPr="00243205">
                    <w:rPr>
                      <w:rFonts w:ascii="Calibri" w:hAnsi="Calibri" w:cs="Calibri"/>
                      <w:color w:val="auto"/>
                    </w:rPr>
                    <w:t>KS2 GPS GDS</w:t>
                  </w:r>
                </w:p>
              </w:tc>
              <w:tc>
                <w:tcPr>
                  <w:tcW w:w="1300" w:type="dxa"/>
                  <w:tcBorders>
                    <w:top w:val="single" w:sz="4" w:space="0" w:color="auto"/>
                    <w:left w:val="single" w:sz="4" w:space="0" w:color="auto"/>
                    <w:bottom w:val="single" w:sz="4" w:space="0" w:color="auto"/>
                    <w:right w:val="single" w:sz="4" w:space="0" w:color="auto"/>
                  </w:tcBorders>
                  <w:vAlign w:val="center"/>
                  <w:hideMark/>
                </w:tcPr>
                <w:p w14:paraId="17C63E7A" w14:textId="77777777" w:rsidR="00243205" w:rsidRPr="00243205" w:rsidRDefault="00243205" w:rsidP="00243205">
                  <w:pPr>
                    <w:suppressAutoHyphens w:val="0"/>
                    <w:autoSpaceDN/>
                    <w:spacing w:after="0" w:line="240" w:lineRule="auto"/>
                    <w:jc w:val="center"/>
                    <w:rPr>
                      <w:rFonts w:ascii="Calibri" w:hAnsi="Calibri" w:cs="Calibri"/>
                      <w:color w:val="000000"/>
                    </w:rPr>
                  </w:pPr>
                  <w:r w:rsidRPr="00243205">
                    <w:rPr>
                      <w:rFonts w:ascii="Calibri" w:hAnsi="Calibri" w:cs="Calibri"/>
                      <w:color w:val="000000"/>
                    </w:rPr>
                    <w:t>60</w:t>
                  </w:r>
                </w:p>
              </w:tc>
            </w:tr>
            <w:tr w:rsidR="00243205" w:rsidRPr="00243205" w14:paraId="0B7D5398" w14:textId="77777777" w:rsidTr="00243205">
              <w:trPr>
                <w:trHeight w:val="315"/>
              </w:trPr>
              <w:tc>
                <w:tcPr>
                  <w:tcW w:w="4620" w:type="dxa"/>
                  <w:tcBorders>
                    <w:top w:val="single" w:sz="4" w:space="0" w:color="auto"/>
                    <w:left w:val="single" w:sz="4" w:space="0" w:color="auto"/>
                    <w:bottom w:val="single" w:sz="4" w:space="0" w:color="auto"/>
                    <w:right w:val="nil"/>
                  </w:tcBorders>
                  <w:vAlign w:val="center"/>
                  <w:hideMark/>
                </w:tcPr>
                <w:p w14:paraId="57EFF736" w14:textId="77777777" w:rsidR="00243205" w:rsidRPr="00243205" w:rsidRDefault="00243205" w:rsidP="00243205">
                  <w:pPr>
                    <w:suppressAutoHyphens w:val="0"/>
                    <w:autoSpaceDN/>
                    <w:spacing w:after="0" w:line="240" w:lineRule="auto"/>
                    <w:rPr>
                      <w:rFonts w:ascii="Calibri" w:hAnsi="Calibri" w:cs="Calibri"/>
                      <w:color w:val="000000"/>
                    </w:rPr>
                  </w:pPr>
                  <w:r w:rsidRPr="00243205">
                    <w:rPr>
                      <w:rFonts w:ascii="Calibri" w:hAnsi="Calibri" w:cs="Calibri"/>
                      <w:color w:val="000000"/>
                    </w:rPr>
                    <w:t>KS2 RWM Combined EXS</w:t>
                  </w:r>
                </w:p>
              </w:tc>
              <w:tc>
                <w:tcPr>
                  <w:tcW w:w="1300" w:type="dxa"/>
                  <w:tcBorders>
                    <w:top w:val="single" w:sz="4" w:space="0" w:color="auto"/>
                    <w:left w:val="single" w:sz="4" w:space="0" w:color="auto"/>
                    <w:bottom w:val="single" w:sz="4" w:space="0" w:color="auto"/>
                    <w:right w:val="single" w:sz="4" w:space="0" w:color="auto"/>
                  </w:tcBorders>
                  <w:vAlign w:val="center"/>
                  <w:hideMark/>
                </w:tcPr>
                <w:p w14:paraId="2BEBADF5" w14:textId="77777777" w:rsidR="00243205" w:rsidRPr="00243205" w:rsidRDefault="00243205" w:rsidP="00243205">
                  <w:pPr>
                    <w:suppressAutoHyphens w:val="0"/>
                    <w:autoSpaceDN/>
                    <w:spacing w:after="0" w:line="240" w:lineRule="auto"/>
                    <w:jc w:val="center"/>
                    <w:rPr>
                      <w:rFonts w:ascii="Calibri" w:hAnsi="Calibri" w:cs="Calibri"/>
                      <w:color w:val="000000"/>
                    </w:rPr>
                  </w:pPr>
                  <w:r w:rsidRPr="00243205">
                    <w:rPr>
                      <w:rFonts w:ascii="Calibri" w:hAnsi="Calibri" w:cs="Calibri"/>
                      <w:color w:val="000000"/>
                    </w:rPr>
                    <w:t>83</w:t>
                  </w:r>
                </w:p>
              </w:tc>
            </w:tr>
            <w:tr w:rsidR="00243205" w:rsidRPr="00243205" w14:paraId="13D0009A" w14:textId="77777777" w:rsidTr="00243205">
              <w:trPr>
                <w:trHeight w:val="315"/>
              </w:trPr>
              <w:tc>
                <w:tcPr>
                  <w:tcW w:w="4620" w:type="dxa"/>
                  <w:tcBorders>
                    <w:top w:val="single" w:sz="4" w:space="0" w:color="auto"/>
                    <w:left w:val="single" w:sz="4" w:space="0" w:color="auto"/>
                    <w:bottom w:val="single" w:sz="4" w:space="0" w:color="auto"/>
                    <w:right w:val="nil"/>
                  </w:tcBorders>
                  <w:vAlign w:val="center"/>
                  <w:hideMark/>
                </w:tcPr>
                <w:p w14:paraId="61FC9B8C" w14:textId="77777777" w:rsidR="00243205" w:rsidRPr="00243205" w:rsidRDefault="00243205" w:rsidP="00243205">
                  <w:pPr>
                    <w:suppressAutoHyphens w:val="0"/>
                    <w:autoSpaceDN/>
                    <w:spacing w:after="0" w:line="240" w:lineRule="auto"/>
                    <w:rPr>
                      <w:rFonts w:ascii="Calibri" w:hAnsi="Calibri" w:cs="Calibri"/>
                      <w:color w:val="000000"/>
                    </w:rPr>
                  </w:pPr>
                  <w:r w:rsidRPr="00243205">
                    <w:rPr>
                      <w:rFonts w:ascii="Calibri" w:hAnsi="Calibri" w:cs="Calibri"/>
                      <w:color w:val="000000"/>
                    </w:rPr>
                    <w:t>KS2 RWM Combined GDS</w:t>
                  </w:r>
                </w:p>
              </w:tc>
              <w:tc>
                <w:tcPr>
                  <w:tcW w:w="1300" w:type="dxa"/>
                  <w:tcBorders>
                    <w:top w:val="single" w:sz="4" w:space="0" w:color="auto"/>
                    <w:left w:val="single" w:sz="4" w:space="0" w:color="auto"/>
                    <w:bottom w:val="single" w:sz="4" w:space="0" w:color="auto"/>
                    <w:right w:val="single" w:sz="4" w:space="0" w:color="auto"/>
                  </w:tcBorders>
                  <w:vAlign w:val="center"/>
                  <w:hideMark/>
                </w:tcPr>
                <w:p w14:paraId="32E845F1" w14:textId="77777777" w:rsidR="00243205" w:rsidRPr="00243205" w:rsidRDefault="00243205" w:rsidP="00243205">
                  <w:pPr>
                    <w:suppressAutoHyphens w:val="0"/>
                    <w:autoSpaceDN/>
                    <w:spacing w:after="0" w:line="240" w:lineRule="auto"/>
                    <w:jc w:val="center"/>
                    <w:rPr>
                      <w:rFonts w:ascii="Calibri" w:hAnsi="Calibri" w:cs="Calibri"/>
                      <w:color w:val="000000"/>
                    </w:rPr>
                  </w:pPr>
                  <w:r w:rsidRPr="00243205">
                    <w:rPr>
                      <w:rFonts w:ascii="Calibri" w:hAnsi="Calibri" w:cs="Calibri"/>
                      <w:color w:val="000000"/>
                    </w:rPr>
                    <w:t>20</w:t>
                  </w:r>
                </w:p>
              </w:tc>
            </w:tr>
          </w:tbl>
          <w:p w14:paraId="5A343249" w14:textId="77777777" w:rsidR="00243205" w:rsidRDefault="00243205"/>
          <w:p w14:paraId="3CFE9768" w14:textId="77777777" w:rsidR="009C7522" w:rsidRDefault="009C7522">
            <w:pPr>
              <w:rPr>
                <w:i/>
                <w:lang w:eastAsia="en-US"/>
              </w:rPr>
            </w:pPr>
          </w:p>
          <w:p w14:paraId="2E5872B0" w14:textId="77777777" w:rsidR="009C7522" w:rsidRDefault="009C7522">
            <w:pPr>
              <w:rPr>
                <w:i/>
                <w:lang w:eastAsia="en-US"/>
              </w:rPr>
            </w:pPr>
          </w:p>
          <w:p w14:paraId="2A7D5546" w14:textId="0E03441B"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2A7D5548" w14:textId="77777777" w:rsidR="00E66558" w:rsidRDefault="009D71E8">
      <w:pPr>
        <w:pStyle w:val="Heading2"/>
        <w:spacing w:before="600"/>
      </w:pPr>
      <w:r>
        <w:lastRenderedPageBreak/>
        <w:t xml:space="preserve">Externally provided </w:t>
      </w:r>
      <w:proofErr w:type="gramStart"/>
      <w:r>
        <w:t>programmes</w:t>
      </w:r>
      <w:proofErr w:type="gramEnd"/>
    </w:p>
    <w:p w14:paraId="2A7D5549" w14:textId="77777777" w:rsidR="00E66558" w:rsidRDefault="009D71E8">
      <w:pPr>
        <w:rPr>
          <w:i/>
          <w:iCs/>
        </w:rPr>
      </w:pPr>
      <w:r>
        <w:rPr>
          <w:i/>
          <w:iCs/>
        </w:rPr>
        <w:t xml:space="preserve">Please include the names of any non-DfE programmes that you purchased in the previous academic year. This will help the Department for Education identify which ones are popular in </w:t>
      </w:r>
      <w:proofErr w:type="gramStart"/>
      <w:r>
        <w:rPr>
          <w:i/>
          <w:iCs/>
        </w:rPr>
        <w:t>England</w:t>
      </w:r>
      <w:proofErr w:type="gramEnd"/>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1A1AF76"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E3655" w14:textId="77777777" w:rsidR="005A50B1" w:rsidRDefault="005A50B1">
      <w:pPr>
        <w:spacing w:after="0" w:line="240" w:lineRule="auto"/>
      </w:pPr>
      <w:r>
        <w:separator/>
      </w:r>
    </w:p>
  </w:endnote>
  <w:endnote w:type="continuationSeparator" w:id="0">
    <w:p w14:paraId="0C019A5E" w14:textId="77777777" w:rsidR="005A50B1" w:rsidRDefault="005A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41492E"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D65F6" w14:textId="77777777" w:rsidR="005A50B1" w:rsidRDefault="005A50B1">
      <w:pPr>
        <w:spacing w:after="0" w:line="240" w:lineRule="auto"/>
      </w:pPr>
      <w:r>
        <w:separator/>
      </w:r>
    </w:p>
  </w:footnote>
  <w:footnote w:type="continuationSeparator" w:id="0">
    <w:p w14:paraId="36C75927" w14:textId="77777777" w:rsidR="005A50B1" w:rsidRDefault="005A5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41492E" w:rsidRDefault="00414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8D313C7"/>
    <w:multiLevelType w:val="hybridMultilevel"/>
    <w:tmpl w:val="D59C60E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DFA4557"/>
    <w:multiLevelType w:val="hybridMultilevel"/>
    <w:tmpl w:val="9D9A9CB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108116B"/>
    <w:multiLevelType w:val="hybridMultilevel"/>
    <w:tmpl w:val="E8129A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42976688"/>
    <w:multiLevelType w:val="hybridMultilevel"/>
    <w:tmpl w:val="8EC4A2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0E5463C"/>
    <w:multiLevelType w:val="hybridMultilevel"/>
    <w:tmpl w:val="5EC4D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8232763"/>
    <w:multiLevelType w:val="hybridMultilevel"/>
    <w:tmpl w:val="761C9AF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9" w15:restartNumberingAfterBreak="0">
    <w:nsid w:val="7A932BD7"/>
    <w:multiLevelType w:val="hybridMultilevel"/>
    <w:tmpl w:val="25268A2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16cid:durableId="94711259">
    <w:abstractNumId w:val="5"/>
  </w:num>
  <w:num w:numId="2" w16cid:durableId="1628730595">
    <w:abstractNumId w:val="3"/>
  </w:num>
  <w:num w:numId="3" w16cid:durableId="497188144">
    <w:abstractNumId w:val="6"/>
  </w:num>
  <w:num w:numId="4" w16cid:durableId="1138914232">
    <w:abstractNumId w:val="7"/>
  </w:num>
  <w:num w:numId="5" w16cid:durableId="857932188">
    <w:abstractNumId w:val="0"/>
  </w:num>
  <w:num w:numId="6" w16cid:durableId="798501009">
    <w:abstractNumId w:val="8"/>
  </w:num>
  <w:num w:numId="7" w16cid:durableId="1210847263">
    <w:abstractNumId w:val="12"/>
  </w:num>
  <w:num w:numId="8" w16cid:durableId="982348153">
    <w:abstractNumId w:val="17"/>
  </w:num>
  <w:num w:numId="9" w16cid:durableId="1529290868">
    <w:abstractNumId w:val="15"/>
  </w:num>
  <w:num w:numId="10" w16cid:durableId="1171066271">
    <w:abstractNumId w:val="13"/>
  </w:num>
  <w:num w:numId="11" w16cid:durableId="1453552857">
    <w:abstractNumId w:val="4"/>
  </w:num>
  <w:num w:numId="12" w16cid:durableId="1812097430">
    <w:abstractNumId w:val="16"/>
  </w:num>
  <w:num w:numId="13" w16cid:durableId="42288650">
    <w:abstractNumId w:val="11"/>
  </w:num>
  <w:num w:numId="14" w16cid:durableId="1983925997">
    <w:abstractNumId w:val="14"/>
  </w:num>
  <w:num w:numId="15" w16cid:durableId="622614051">
    <w:abstractNumId w:val="10"/>
  </w:num>
  <w:num w:numId="16" w16cid:durableId="39598969">
    <w:abstractNumId w:val="9"/>
  </w:num>
  <w:num w:numId="17" w16cid:durableId="696275956">
    <w:abstractNumId w:val="18"/>
  </w:num>
  <w:num w:numId="18" w16cid:durableId="1571844847">
    <w:abstractNumId w:val="2"/>
  </w:num>
  <w:num w:numId="19" w16cid:durableId="968435607">
    <w:abstractNumId w:val="1"/>
  </w:num>
  <w:num w:numId="20" w16cid:durableId="18365302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43B4"/>
    <w:rsid w:val="00066B73"/>
    <w:rsid w:val="000A18E8"/>
    <w:rsid w:val="00120AB1"/>
    <w:rsid w:val="00125501"/>
    <w:rsid w:val="0017131D"/>
    <w:rsid w:val="00243205"/>
    <w:rsid w:val="0026095D"/>
    <w:rsid w:val="002F7E42"/>
    <w:rsid w:val="0037437C"/>
    <w:rsid w:val="0037499C"/>
    <w:rsid w:val="004044AA"/>
    <w:rsid w:val="0041492E"/>
    <w:rsid w:val="00534E11"/>
    <w:rsid w:val="005A50B1"/>
    <w:rsid w:val="005E5C01"/>
    <w:rsid w:val="00634238"/>
    <w:rsid w:val="00635FBC"/>
    <w:rsid w:val="00655E09"/>
    <w:rsid w:val="006E13AF"/>
    <w:rsid w:val="006E6B4A"/>
    <w:rsid w:val="006E7FB1"/>
    <w:rsid w:val="00741B9E"/>
    <w:rsid w:val="007C2F04"/>
    <w:rsid w:val="007D67BF"/>
    <w:rsid w:val="00862200"/>
    <w:rsid w:val="008A1EFD"/>
    <w:rsid w:val="00931820"/>
    <w:rsid w:val="009C7522"/>
    <w:rsid w:val="009D71E8"/>
    <w:rsid w:val="00B4006C"/>
    <w:rsid w:val="00B57378"/>
    <w:rsid w:val="00BA29B3"/>
    <w:rsid w:val="00C10280"/>
    <w:rsid w:val="00D06874"/>
    <w:rsid w:val="00D162F9"/>
    <w:rsid w:val="00D33FE5"/>
    <w:rsid w:val="00D904A0"/>
    <w:rsid w:val="00E22598"/>
    <w:rsid w:val="00E46AC6"/>
    <w:rsid w:val="00E56292"/>
    <w:rsid w:val="00E66558"/>
    <w:rsid w:val="00F12708"/>
    <w:rsid w:val="00FB43BC"/>
    <w:rsid w:val="00FB75CF"/>
    <w:rsid w:val="00FC07E6"/>
    <w:rsid w:val="00FD5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99"/>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D904A0"/>
    <w:pPr>
      <w:suppressAutoHyphens w:val="0"/>
      <w:autoSpaceDN/>
      <w:spacing w:before="100" w:beforeAutospacing="1" w:after="100" w:afterAutospacing="1" w:line="240" w:lineRule="auto"/>
    </w:pPr>
    <w:rPr>
      <w:rFonts w:ascii="Times New Roman" w:hAnsi="Times New Roman"/>
      <w:color w:val="auto"/>
    </w:rPr>
  </w:style>
  <w:style w:type="paragraph" w:customStyle="1" w:styleId="lightblue">
    <w:name w:val="lightblue"/>
    <w:basedOn w:val="Normal"/>
    <w:rsid w:val="00BA29B3"/>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16530">
      <w:bodyDiv w:val="1"/>
      <w:marLeft w:val="0"/>
      <w:marRight w:val="0"/>
      <w:marTop w:val="0"/>
      <w:marBottom w:val="0"/>
      <w:divBdr>
        <w:top w:val="none" w:sz="0" w:space="0" w:color="auto"/>
        <w:left w:val="none" w:sz="0" w:space="0" w:color="auto"/>
        <w:bottom w:val="none" w:sz="0" w:space="0" w:color="auto"/>
        <w:right w:val="none" w:sz="0" w:space="0" w:color="auto"/>
      </w:divBdr>
    </w:div>
    <w:div w:id="997921845">
      <w:bodyDiv w:val="1"/>
      <w:marLeft w:val="0"/>
      <w:marRight w:val="0"/>
      <w:marTop w:val="0"/>
      <w:marBottom w:val="0"/>
      <w:divBdr>
        <w:top w:val="none" w:sz="0" w:space="0" w:color="auto"/>
        <w:left w:val="none" w:sz="0" w:space="0" w:color="auto"/>
        <w:bottom w:val="none" w:sz="0" w:space="0" w:color="auto"/>
        <w:right w:val="none" w:sz="0" w:space="0" w:color="auto"/>
      </w:divBdr>
    </w:div>
    <w:div w:id="1071661207">
      <w:bodyDiv w:val="1"/>
      <w:marLeft w:val="0"/>
      <w:marRight w:val="0"/>
      <w:marTop w:val="0"/>
      <w:marBottom w:val="0"/>
      <w:divBdr>
        <w:top w:val="none" w:sz="0" w:space="0" w:color="auto"/>
        <w:left w:val="none" w:sz="0" w:space="0" w:color="auto"/>
        <w:bottom w:val="none" w:sz="0" w:space="0" w:color="auto"/>
        <w:right w:val="none" w:sz="0" w:space="0" w:color="auto"/>
      </w:divBdr>
    </w:div>
    <w:div w:id="1390375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3099</Words>
  <Characters>17668</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Joanne Ryder-Maddocks</cp:lastModifiedBy>
  <cp:revision>2</cp:revision>
  <cp:lastPrinted>2014-09-17T13:26:00Z</cp:lastPrinted>
  <dcterms:created xsi:type="dcterms:W3CDTF">2024-01-29T11:59:00Z</dcterms:created>
  <dcterms:modified xsi:type="dcterms:W3CDTF">2024-01-29T11:59:00Z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